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0" w:firstLineChars="1500"/>
        <w:jc w:val="right"/>
        <w:rPr>
          <w:rFonts w:ascii="Times New Roman" w:hAnsi="Times New Roman" w:eastAsia="仿宋_GB2312" w:cs="Times New Roman"/>
          <w:bCs/>
          <w:color w:val="000000" w:themeColor="text1"/>
          <w:sz w:val="32"/>
          <w:szCs w:val="32"/>
          <w14:textFill>
            <w14:solidFill>
              <w14:schemeClr w14:val="tx1"/>
            </w14:solidFill>
          </w14:textFill>
        </w:rPr>
      </w:pPr>
    </w:p>
    <w:p>
      <w:pPr>
        <w:wordWrap w:val="0"/>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w:t>
      </w:r>
    </w:p>
    <w:p>
      <w:pPr>
        <w:tabs>
          <w:tab w:val="left" w:pos="2424"/>
          <w:tab w:val="left" w:pos="5537"/>
          <w:tab w:val="left" w:pos="7663"/>
        </w:tabs>
        <w:autoSpaceDE w:val="0"/>
        <w:autoSpaceDN w:val="0"/>
        <w:adjustRightInd w:val="0"/>
        <w:snapToGrid w:val="0"/>
        <w:spacing w:line="6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榜单任务</w:t>
      </w:r>
    </w:p>
    <w:bookmarkEnd w:id="0"/>
    <w:p>
      <w:pPr>
        <w:adjustRightInd w:val="0"/>
        <w:snapToGrid w:val="0"/>
        <w:spacing w:line="600" w:lineRule="exact"/>
        <w:ind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p>
    <w:p>
      <w:pPr>
        <w:keepNext w:val="0"/>
        <w:keepLines w:val="0"/>
        <w:widowControl/>
        <w:suppressLineNumbers w:val="0"/>
        <w:ind w:firstLine="640" w:firstLineChars="200"/>
        <w:jc w:val="left"/>
        <w:rPr>
          <w:rFonts w:hint="eastAsia"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一、</w:t>
      </w:r>
      <w:r>
        <w:rPr>
          <w:rFonts w:hint="eastAsia" w:ascii="黑体" w:hAnsi="黑体" w:eastAsia="黑体" w:cs="黑体"/>
          <w:bCs/>
          <w:color w:val="000000" w:themeColor="text1"/>
          <w:kern w:val="0"/>
          <w:sz w:val="32"/>
          <w:szCs w:val="32"/>
          <w:lang w:val="en-US" w:eastAsia="zh-CN"/>
          <w14:textFill>
            <w14:solidFill>
              <w14:schemeClr w14:val="tx1"/>
            </w14:solidFill>
          </w14:textFill>
        </w:rPr>
        <w:t>新型激光晶圆切割技术研发</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开发基于空间光调制器的激光隐形切割工艺及成套设备。需重点突破的技术难点：</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1.高精度气浮平台的研发。系统可达到±1um的重复定位精度，最高可实现3G的加速度，2000mm/s的运动速度。</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2.光路涉及实现激光的空间调制。通过GS算法、模拟退火算法等技术，通过对最终需要的激光光斑三维布情况来计算输入相位全息图，实现高效率高品质的全息图计算。</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3.切割焦点Z向动态补偿。实现位移传感器和聚焦光轴与划片方向平行安装，位移传感器采集的晶圆面起伏信息传输给纳米电机根据晶圆平面起伏量进行焦点的实时补偿以达到实时动调焦的目的。</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4.可变整形光斑控制系统。实现不同宽度的切割，镜片设计，制造指标，镀膜指标，系统精度完全自主可控。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5、光路自动稳定系统研发，确保设备在恶劣环境下可持续的稳定工作</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成果形式：</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基于空间光调制器的激光隐形切割工艺及成套设备。</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技术指标：</w:t>
      </w:r>
    </w:p>
    <w:tbl>
      <w:tblPr>
        <w:tblStyle w:val="6"/>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688"/>
        <w:gridCol w:w="1924"/>
        <w:gridCol w:w="872"/>
        <w:gridCol w:w="1040"/>
        <w:gridCol w:w="956"/>
        <w:gridCol w:w="956"/>
        <w:gridCol w:w="872"/>
        <w:gridCol w:w="72"/>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2" w:type="dxa"/>
            <w:gridSpan w:val="3"/>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设备参数</w:t>
            </w:r>
          </w:p>
        </w:tc>
        <w:tc>
          <w:tcPr>
            <w:tcW w:w="1912" w:type="dxa"/>
            <w:gridSpan w:val="2"/>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全自动激光表切设备(纳秒)</w:t>
            </w:r>
          </w:p>
        </w:tc>
        <w:tc>
          <w:tcPr>
            <w:tcW w:w="1912" w:type="dxa"/>
            <w:gridSpan w:val="2"/>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全自动激光</w:t>
            </w:r>
            <w:r>
              <w:rPr>
                <w:rFonts w:hint="eastAsia"/>
                <w:color w:val="000000" w:themeColor="text1"/>
                <w14:textFill>
                  <w14:solidFill>
                    <w14:schemeClr w14:val="tx1"/>
                  </w14:solidFill>
                </w14:textFill>
              </w:rPr>
              <w:t>隐形切割设备</w:t>
            </w:r>
          </w:p>
        </w:tc>
        <w:tc>
          <w:tcPr>
            <w:tcW w:w="1992" w:type="dxa"/>
            <w:gridSpan w:val="3"/>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全自动激</w:t>
            </w:r>
            <w:r>
              <w:rPr>
                <w:rFonts w:hint="eastAsia"/>
                <w:color w:val="000000" w:themeColor="text1"/>
                <w14:textFill>
                  <w14:solidFill>
                    <w14:schemeClr w14:val="tx1"/>
                  </w14:solidFill>
                </w14:textFill>
              </w:rPr>
              <w:t>光</w:t>
            </w:r>
            <w:r>
              <w:rPr>
                <w:color w:val="000000" w:themeColor="text1"/>
                <w14:textFill>
                  <w14:solidFill>
                    <w14:schemeClr w14:val="tx1"/>
                  </w14:solidFill>
                </w14:textFill>
              </w:rPr>
              <w:t>表</w:t>
            </w:r>
            <w:r>
              <w:rPr>
                <w:rFonts w:hint="eastAsia"/>
                <w:color w:val="000000" w:themeColor="text1"/>
                <w14:textFill>
                  <w14:solidFill>
                    <w14:schemeClr w14:val="tx1"/>
                  </w14:solidFill>
                </w14:textFill>
              </w:rPr>
              <w:t>切设备（皮秒）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restar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基本配置</w:t>
            </w:r>
          </w:p>
        </w:tc>
        <w:tc>
          <w:tcPr>
            <w:tcW w:w="688" w:type="dxa"/>
            <w:vMerge w:val="restar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光学</w:t>
            </w: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激光器</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w:t>
            </w:r>
            <w:r>
              <w:rPr>
                <w:color w:val="000000" w:themeColor="text1"/>
                <w14:textFill>
                  <w14:solidFill>
                    <w14:schemeClr w14:val="tx1"/>
                  </w14:solidFill>
                </w14:textFill>
              </w:rPr>
              <w:t>制</w:t>
            </w:r>
          </w:p>
        </w:tc>
        <w:tc>
          <w:tcPr>
            <w:tcW w:w="1912" w:type="dxa"/>
            <w:gridSpan w:val="2"/>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纯光纤定制</w:t>
            </w:r>
          </w:p>
        </w:tc>
        <w:tc>
          <w:tcPr>
            <w:tcW w:w="1992" w:type="dxa"/>
            <w:gridSpan w:val="3"/>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功率(W)</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11</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波长</w:t>
            </w:r>
          </w:p>
        </w:tc>
        <w:tc>
          <w:tcPr>
            <w:tcW w:w="1912" w:type="dxa"/>
            <w:gridSpan w:val="2"/>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355nm</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c>
          <w:tcPr>
            <w:tcW w:w="1992" w:type="dxa"/>
            <w:gridSpan w:val="3"/>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355nm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激光模式</w:t>
            </w:r>
          </w:p>
        </w:tc>
        <w:tc>
          <w:tcPr>
            <w:tcW w:w="872"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Pulse</w:t>
            </w:r>
          </w:p>
        </w:tc>
        <w:tc>
          <w:tcPr>
            <w:tcW w:w="10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CW</w:t>
            </w:r>
          </w:p>
        </w:tc>
        <w:tc>
          <w:tcPr>
            <w:tcW w:w="95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Pulse</w:t>
            </w:r>
          </w:p>
        </w:tc>
        <w:tc>
          <w:tcPr>
            <w:tcW w:w="95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CW</w:t>
            </w:r>
          </w:p>
        </w:tc>
        <w:tc>
          <w:tcPr>
            <w:tcW w:w="872"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Pulse</w:t>
            </w:r>
          </w:p>
        </w:tc>
        <w:tc>
          <w:tcPr>
            <w:tcW w:w="1120"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M</w:t>
            </w:r>
            <w:r>
              <w:rPr>
                <w:rFonts w:hint="eastAsia"/>
                <w:color w:val="000000" w:themeColor="text1"/>
                <w14:textFill>
                  <w14:solidFill>
                    <w14:schemeClr w14:val="tx1"/>
                  </w14:solidFill>
                </w14:textFill>
              </w:rPr>
              <w:t>²</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1.3</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1</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频率</w:t>
            </w:r>
            <w:r>
              <w:rPr>
                <w:color w:val="000000" w:themeColor="text1"/>
                <w14:textFill>
                  <w14:solidFill>
                    <w14:schemeClr w14:val="tx1"/>
                  </w14:solidFill>
                </w14:textFill>
              </w:rPr>
              <w:t>(Hz)</w:t>
            </w:r>
          </w:p>
        </w:tc>
        <w:tc>
          <w:tcPr>
            <w:tcW w:w="872"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40KHz</w:t>
            </w:r>
          </w:p>
        </w:tc>
        <w:tc>
          <w:tcPr>
            <w:tcW w:w="1040"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200KHz</w:t>
            </w:r>
          </w:p>
        </w:tc>
        <w:tc>
          <w:tcPr>
            <w:tcW w:w="95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40KHz</w:t>
            </w:r>
          </w:p>
        </w:tc>
        <w:tc>
          <w:tcPr>
            <w:tcW w:w="95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13</w:t>
            </w:r>
            <w:r>
              <w:rPr>
                <w:color w:val="000000" w:themeColor="text1"/>
                <w14:textFill>
                  <w14:solidFill>
                    <w14:schemeClr w14:val="tx1"/>
                  </w14:solidFill>
                </w14:textFill>
              </w:rPr>
              <w:t>0KHz</w:t>
            </w:r>
          </w:p>
        </w:tc>
        <w:tc>
          <w:tcPr>
            <w:tcW w:w="944"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KHz</w:t>
            </w:r>
          </w:p>
        </w:tc>
        <w:tc>
          <w:tcPr>
            <w:tcW w:w="104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2000</w:t>
            </w:r>
            <w:r>
              <w:rPr>
                <w:color w:val="000000" w:themeColor="text1"/>
                <w14:textFill>
                  <w14:solidFill>
                    <w14:schemeClr w14:val="tx1"/>
                  </w14:solidFill>
                </w14:textFill>
              </w:rPr>
              <w:t>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脉宽</w:t>
            </w:r>
          </w:p>
        </w:tc>
        <w:tc>
          <w:tcPr>
            <w:tcW w:w="1912" w:type="dxa"/>
            <w:gridSpan w:val="2"/>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40ns-150ns</w:t>
            </w:r>
          </w:p>
        </w:tc>
        <w:tc>
          <w:tcPr>
            <w:tcW w:w="1912" w:type="dxa"/>
            <w:gridSpan w:val="2"/>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40ns-</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50ns</w:t>
            </w:r>
          </w:p>
        </w:tc>
        <w:tc>
          <w:tcPr>
            <w:tcW w:w="1992" w:type="dxa"/>
            <w:gridSpan w:val="3"/>
            <w:vAlign w:val="center"/>
          </w:tcPr>
          <w:p>
            <w:pPr>
              <w:jc w:val="center"/>
              <w:rPr>
                <w:color w:val="000000" w:themeColor="text1"/>
                <w14:textFill>
                  <w14:solidFill>
                    <w14:schemeClr w14:val="tx1"/>
                  </w14:solidFill>
                </w14:textFill>
              </w:rPr>
            </w:pPr>
            <w:r>
              <w:rPr>
                <w:rFonts w:hint="eastAsia" w:asciiTheme="minorHAnsi"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15Ps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功率稳定性</w:t>
            </w:r>
          </w:p>
        </w:tc>
        <w:tc>
          <w:tcPr>
            <w:tcW w:w="1912" w:type="dxa"/>
            <w:gridSpan w:val="2"/>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&lt;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over</w:t>
            </w:r>
            <w:r>
              <w:rPr>
                <w:rFonts w:hint="eastAsia"/>
                <w:color w:val="000000" w:themeColor="text1"/>
                <w14:textFill>
                  <w14:solidFill>
                    <w14:schemeClr w14:val="tx1"/>
                  </w14:solidFill>
                </w14:textFill>
              </w:rPr>
              <w:t xml:space="preserve"> 8</w:t>
            </w:r>
            <w:r>
              <w:rPr>
                <w:color w:val="000000" w:themeColor="text1"/>
                <w14:textFill>
                  <w14:solidFill>
                    <w14:schemeClr w14:val="tx1"/>
                  </w14:solidFill>
                </w14:textFill>
              </w:rPr>
              <w:t>hours</w:t>
            </w:r>
          </w:p>
        </w:tc>
        <w:tc>
          <w:tcPr>
            <w:tcW w:w="1912" w:type="dxa"/>
            <w:gridSpan w:val="2"/>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&lt;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over</w:t>
            </w:r>
            <w:r>
              <w:rPr>
                <w:rFonts w:hint="eastAsia"/>
                <w:color w:val="000000" w:themeColor="text1"/>
                <w14:textFill>
                  <w14:solidFill>
                    <w14:schemeClr w14:val="tx1"/>
                  </w14:solidFill>
                </w14:textFill>
              </w:rPr>
              <w:t xml:space="preserve"> 8</w:t>
            </w:r>
            <w:r>
              <w:rPr>
                <w:color w:val="000000" w:themeColor="text1"/>
                <w14:textFill>
                  <w14:solidFill>
                    <w14:schemeClr w14:val="tx1"/>
                  </w14:solidFill>
                </w14:textFill>
              </w:rPr>
              <w:t>hours</w:t>
            </w:r>
          </w:p>
        </w:tc>
        <w:tc>
          <w:tcPr>
            <w:tcW w:w="1992" w:type="dxa"/>
            <w:gridSpan w:val="3"/>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&lt;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over</w:t>
            </w:r>
            <w:r>
              <w:rPr>
                <w:rFonts w:hint="eastAsia"/>
                <w:color w:val="000000" w:themeColor="text1"/>
                <w14:textFill>
                  <w14:solidFill>
                    <w14:schemeClr w14:val="tx1"/>
                  </w14:solidFill>
                </w14:textFill>
              </w:rPr>
              <w:t xml:space="preserve"> 8</w:t>
            </w:r>
            <w:r>
              <w:rPr>
                <w:color w:val="000000" w:themeColor="text1"/>
                <w14:textFill>
                  <w14:solidFill>
                    <w14:schemeClr w14:val="tx1"/>
                  </w14:solidFill>
                </w14:textFill>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偏</w:t>
            </w:r>
            <w:r>
              <w:rPr>
                <w:color w:val="000000" w:themeColor="text1"/>
                <w14:textFill>
                  <w14:solidFill>
                    <w14:schemeClr w14:val="tx1"/>
                  </w14:solidFill>
                </w14:textFill>
              </w:rPr>
              <w:t>振方向</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线性</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线性</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线性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光斑直径</w:t>
            </w:r>
          </w:p>
        </w:tc>
        <w:tc>
          <w:tcPr>
            <w:tcW w:w="1912" w:type="dxa"/>
            <w:gridSpan w:val="2"/>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20-120</w:t>
            </w:r>
            <w:r>
              <w:rPr>
                <w:rFonts w:hint="eastAsia"/>
                <w:color w:val="000000" w:themeColor="text1"/>
                <w14:textFill>
                  <w14:solidFill>
                    <w14:schemeClr w14:val="tx1"/>
                  </w14:solidFill>
                </w14:textFill>
              </w:rPr>
              <w:t>μ</w:t>
            </w:r>
            <w:r>
              <w:rPr>
                <w:rFonts w:hint="eastAsia" w:asciiTheme="minorHAnsi" w:eastAsiaTheme="minorEastAsia"/>
                <w:color w:val="000000" w:themeColor="text1"/>
                <w:lang w:val="en-US" w:eastAsia="zh-CN"/>
                <w14:textFill>
                  <w14:solidFill>
                    <w14:schemeClr w14:val="tx1"/>
                  </w14:solidFill>
                </w14:textFill>
              </w:rPr>
              <w:t>m</w:t>
            </w:r>
            <w:r>
              <w:rPr>
                <w:color w:val="000000" w:themeColor="text1"/>
                <w14:textFill>
                  <w14:solidFill>
                    <w14:schemeClr w14:val="tx1"/>
                  </w14:solidFill>
                </w14:textFill>
              </w:rPr>
              <w:t>连续</w:t>
            </w:r>
            <w:r>
              <w:rPr>
                <w:rFonts w:hint="eastAsia"/>
                <w:color w:val="000000" w:themeColor="text1"/>
                <w14:textFill>
                  <w14:solidFill>
                    <w14:schemeClr w14:val="tx1"/>
                  </w14:solidFill>
                </w14:textFill>
              </w:rPr>
              <w:t>可变</w:t>
            </w:r>
          </w:p>
        </w:tc>
        <w:tc>
          <w:tcPr>
            <w:tcW w:w="1912" w:type="dxa"/>
            <w:gridSpan w:val="2"/>
            <w:vAlign w:val="center"/>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＜2μ</w:t>
            </w:r>
            <w:r>
              <w:rPr>
                <w:rFonts w:hint="eastAsia" w:asciiTheme="minorHAnsi" w:eastAsiaTheme="minorEastAsia"/>
                <w:color w:val="000000" w:themeColor="text1"/>
                <w:lang w:val="en-US" w:eastAsia="zh-CN"/>
                <w14:textFill>
                  <w14:solidFill>
                    <w14:schemeClr w14:val="tx1"/>
                  </w14:solidFill>
                </w14:textFill>
              </w:rPr>
              <w:t>m</w:t>
            </w:r>
          </w:p>
        </w:tc>
        <w:tc>
          <w:tcPr>
            <w:tcW w:w="1992" w:type="dxa"/>
            <w:gridSpan w:val="3"/>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20-120</w:t>
            </w:r>
            <w:r>
              <w:rPr>
                <w:rFonts w:hint="eastAsia"/>
                <w:color w:val="000000" w:themeColor="text1"/>
                <w14:textFill>
                  <w14:solidFill>
                    <w14:schemeClr w14:val="tx1"/>
                  </w14:solidFill>
                </w14:textFill>
              </w:rPr>
              <w:t>μ</w:t>
            </w:r>
            <w:r>
              <w:rPr>
                <w:rFonts w:hint="eastAsia" w:asciiTheme="minorHAnsi" w:eastAsiaTheme="minorEastAsia"/>
                <w:color w:val="000000" w:themeColor="text1"/>
                <w:lang w:val="en-US" w:eastAsia="zh-CN"/>
                <w14:textFill>
                  <w14:solidFill>
                    <w14:schemeClr w14:val="tx1"/>
                  </w14:solidFill>
                </w14:textFill>
              </w:rPr>
              <w:t>m</w:t>
            </w:r>
            <w:r>
              <w:rPr>
                <w:color w:val="000000" w:themeColor="text1"/>
                <w14:textFill>
                  <w14:solidFill>
                    <w14:schemeClr w14:val="tx1"/>
                  </w14:solidFill>
                </w14:textFill>
              </w:rPr>
              <w:t>连续</w:t>
            </w:r>
            <w:r>
              <w:rPr>
                <w:rFonts w:hint="eastAsia"/>
                <w:color w:val="000000" w:themeColor="text1"/>
                <w14:textFill>
                  <w14:solidFill>
                    <w14:schemeClr w14:val="tx1"/>
                  </w14:solidFill>
                </w14:textFill>
              </w:rPr>
              <w:t>可变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制冷方式</w:t>
            </w:r>
          </w:p>
        </w:tc>
        <w:tc>
          <w:tcPr>
            <w:tcW w:w="1912" w:type="dxa"/>
            <w:gridSpan w:val="2"/>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water-cooling</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风冷</w:t>
            </w:r>
          </w:p>
        </w:tc>
        <w:tc>
          <w:tcPr>
            <w:tcW w:w="1992" w:type="dxa"/>
            <w:gridSpan w:val="3"/>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water-cooling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环境温度</w:t>
            </w:r>
            <w:r>
              <w:rPr>
                <w:rFonts w:hint="eastAsia"/>
                <w:color w:val="000000" w:themeColor="text1"/>
                <w14:textFill>
                  <w14:solidFill>
                    <w14:schemeClr w14:val="tx1"/>
                  </w14:solidFill>
                </w14:textFill>
              </w:rPr>
              <w:t>（℃）</w:t>
            </w:r>
          </w:p>
        </w:tc>
        <w:tc>
          <w:tcPr>
            <w:tcW w:w="1912" w:type="dxa"/>
            <w:gridSpan w:val="2"/>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17-30</w:t>
            </w:r>
          </w:p>
        </w:tc>
        <w:tc>
          <w:tcPr>
            <w:tcW w:w="1912" w:type="dxa"/>
            <w:gridSpan w:val="2"/>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17-30</w:t>
            </w:r>
          </w:p>
        </w:tc>
        <w:tc>
          <w:tcPr>
            <w:tcW w:w="1992" w:type="dxa"/>
            <w:gridSpan w:val="3"/>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光路设计</w:t>
            </w:r>
          </w:p>
        </w:tc>
        <w:tc>
          <w:tcPr>
            <w:tcW w:w="1912" w:type="dxa"/>
            <w:gridSpan w:val="2"/>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双光路设计</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支持多焦点设计</w:t>
            </w:r>
          </w:p>
        </w:tc>
        <w:tc>
          <w:tcPr>
            <w:tcW w:w="1992" w:type="dxa"/>
            <w:gridSpan w:val="3"/>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双光路设计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质</w:t>
            </w:r>
            <w:r>
              <w:rPr>
                <w:color w:val="000000" w:themeColor="text1"/>
                <w14:textFill>
                  <w14:solidFill>
                    <w14:schemeClr w14:val="tx1"/>
                  </w14:solidFill>
                </w14:textFill>
              </w:rPr>
              <w:t>保</w:t>
            </w:r>
          </w:p>
        </w:tc>
        <w:tc>
          <w:tcPr>
            <w:tcW w:w="1912" w:type="dxa"/>
            <w:gridSpan w:val="2"/>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2年</w:t>
            </w:r>
          </w:p>
        </w:tc>
        <w:tc>
          <w:tcPr>
            <w:tcW w:w="1912" w:type="dxa"/>
            <w:gridSpan w:val="2"/>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2年</w:t>
            </w:r>
          </w:p>
        </w:tc>
        <w:tc>
          <w:tcPr>
            <w:tcW w:w="1992" w:type="dxa"/>
            <w:gridSpan w:val="3"/>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加工方式</w:t>
            </w:r>
          </w:p>
        </w:tc>
        <w:tc>
          <w:tcPr>
            <w:tcW w:w="1912" w:type="dxa"/>
            <w:gridSpan w:val="2"/>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全自动</w:t>
            </w:r>
          </w:p>
        </w:tc>
        <w:tc>
          <w:tcPr>
            <w:tcW w:w="1912" w:type="dxa"/>
            <w:gridSpan w:val="2"/>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全自动</w:t>
            </w:r>
          </w:p>
        </w:tc>
        <w:tc>
          <w:tcPr>
            <w:tcW w:w="1992" w:type="dxa"/>
            <w:gridSpan w:val="3"/>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全自动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restar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X/Y运动平台</w:t>
            </w: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直线电机</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读数头/光栅尺</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导轨</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最大行程</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≥65</w:t>
            </w:r>
            <w:r>
              <w:rPr>
                <w:color w:val="000000" w:themeColor="text1"/>
                <w14:textFill>
                  <w14:solidFill>
                    <w14:schemeClr w14:val="tx1"/>
                  </w14:solidFill>
                </w14:textFill>
              </w:rPr>
              <w:t>0mmx</w:t>
            </w:r>
            <w:r>
              <w:rPr>
                <w:rFonts w:hint="eastAsia"/>
                <w:color w:val="000000" w:themeColor="text1"/>
                <w14:textFill>
                  <w14:solidFill>
                    <w14:schemeClr w14:val="tx1"/>
                  </w14:solidFill>
                </w14:textFill>
              </w:rPr>
              <w:t>45</w:t>
            </w:r>
            <w:r>
              <w:rPr>
                <w:color w:val="000000" w:themeColor="text1"/>
                <w14:textFill>
                  <w14:solidFill>
                    <w14:schemeClr w14:val="tx1"/>
                  </w14:solidFill>
                </w14:textFill>
              </w:rPr>
              <w:t>0m</w:t>
            </w:r>
            <w:r>
              <w:rPr>
                <w:rFonts w:hint="eastAsia"/>
                <w:color w:val="000000" w:themeColor="text1"/>
                <w14:textFill>
                  <w14:solidFill>
                    <w14:schemeClr w14:val="tx1"/>
                  </w14:solidFill>
                </w14:textFill>
              </w:rPr>
              <w:t>m</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≥65</w:t>
            </w:r>
            <w:r>
              <w:rPr>
                <w:color w:val="000000" w:themeColor="text1"/>
                <w14:textFill>
                  <w14:solidFill>
                    <w14:schemeClr w14:val="tx1"/>
                  </w14:solidFill>
                </w14:textFill>
              </w:rPr>
              <w:t>0mmx</w:t>
            </w:r>
            <w:r>
              <w:rPr>
                <w:rFonts w:hint="eastAsia"/>
                <w:color w:val="000000" w:themeColor="text1"/>
                <w14:textFill>
                  <w14:solidFill>
                    <w14:schemeClr w14:val="tx1"/>
                  </w14:solidFill>
                </w14:textFill>
              </w:rPr>
              <w:t>45</w:t>
            </w:r>
            <w:r>
              <w:rPr>
                <w:color w:val="000000" w:themeColor="text1"/>
                <w14:textFill>
                  <w14:solidFill>
                    <w14:schemeClr w14:val="tx1"/>
                  </w14:solidFill>
                </w14:textFill>
              </w:rPr>
              <w:t>0m</w:t>
            </w:r>
            <w:r>
              <w:rPr>
                <w:rFonts w:hint="eastAsia"/>
                <w:color w:val="000000" w:themeColor="text1"/>
                <w14:textFill>
                  <w14:solidFill>
                    <w14:schemeClr w14:val="tx1"/>
                  </w14:solidFill>
                </w14:textFill>
              </w:rPr>
              <w:t>m</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65</w:t>
            </w:r>
            <w:r>
              <w:rPr>
                <w:color w:val="000000" w:themeColor="text1"/>
                <w14:textFill>
                  <w14:solidFill>
                    <w14:schemeClr w14:val="tx1"/>
                  </w14:solidFill>
                </w14:textFill>
              </w:rPr>
              <w:t>0mmx</w:t>
            </w:r>
            <w:r>
              <w:rPr>
                <w:rFonts w:hint="eastAsia"/>
                <w:color w:val="000000" w:themeColor="text1"/>
                <w14:textFill>
                  <w14:solidFill>
                    <w14:schemeClr w14:val="tx1"/>
                  </w14:solidFill>
                </w14:textFill>
              </w:rPr>
              <w:t>45</w:t>
            </w:r>
            <w:r>
              <w:rPr>
                <w:color w:val="000000" w:themeColor="text1"/>
                <w14:textFill>
                  <w14:solidFill>
                    <w14:schemeClr w14:val="tx1"/>
                  </w14:solidFill>
                </w14:textFill>
              </w:rPr>
              <w:t>0m</w:t>
            </w:r>
            <w:r>
              <w:rPr>
                <w:rFonts w:hint="eastAsia"/>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加工幅面</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300mmx300m</w:t>
            </w:r>
            <w:r>
              <w:rPr>
                <w:rFonts w:hint="eastAsia"/>
                <w:color w:val="000000" w:themeColor="text1"/>
                <w14:textFill>
                  <w14:solidFill>
                    <w14:schemeClr w14:val="tx1"/>
                  </w14:solidFill>
                </w14:textFill>
              </w:rPr>
              <w:t>m</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0mmx3</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0m</w:t>
            </w:r>
            <w:r>
              <w:rPr>
                <w:rFonts w:hint="eastAsia"/>
                <w:color w:val="000000" w:themeColor="text1"/>
                <w14:textFill>
                  <w14:solidFill>
                    <w14:schemeClr w14:val="tx1"/>
                  </w14:solidFill>
                </w14:textFill>
              </w:rPr>
              <w:t>m</w:t>
            </w:r>
          </w:p>
        </w:tc>
        <w:tc>
          <w:tcPr>
            <w:tcW w:w="1992" w:type="dxa"/>
            <w:gridSpan w:val="3"/>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0mmx3</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0m</w:t>
            </w:r>
            <w:r>
              <w:rPr>
                <w:rFonts w:hint="eastAsia"/>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最大运行速</w:t>
            </w:r>
            <w:r>
              <w:rPr>
                <w:rFonts w:hint="eastAsia"/>
                <w:color w:val="000000" w:themeColor="text1"/>
                <w14:textFill>
                  <w14:solidFill>
                    <w14:schemeClr w14:val="tx1"/>
                  </w14:solidFill>
                </w14:textFill>
              </w:rPr>
              <w:t>度</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asciiTheme="minorHAnsi" w:eastAsiaTheme="minorEastAsia"/>
                <w:color w:val="000000" w:themeColor="text1"/>
                <w:lang w:val="en-US" w:eastAsia="zh-CN"/>
                <w14:textFill>
                  <w14:solidFill>
                    <w14:schemeClr w14:val="tx1"/>
                  </w14:solidFill>
                </w14:textFill>
              </w:rPr>
              <w:t>10</w:t>
            </w:r>
            <w:r>
              <w:rPr>
                <w:color w:val="000000" w:themeColor="text1"/>
                <w14:textFill>
                  <w14:solidFill>
                    <w14:schemeClr w14:val="tx1"/>
                  </w14:solidFill>
                </w14:textFill>
              </w:rPr>
              <w:t>00mm</w:t>
            </w:r>
            <w:r>
              <w:rPr>
                <w:rFonts w:hint="eastAsia"/>
                <w:color w:val="000000" w:themeColor="text1"/>
                <w14:textFill>
                  <w14:solidFill>
                    <w14:schemeClr w14:val="tx1"/>
                  </w14:solidFill>
                </w14:textFill>
              </w:rPr>
              <w:t>/s</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w:t>
            </w:r>
            <w:r>
              <w:rPr>
                <w:color w:val="000000" w:themeColor="text1"/>
                <w14:textFill>
                  <w14:solidFill>
                    <w14:schemeClr w14:val="tx1"/>
                  </w14:solidFill>
                </w14:textFill>
              </w:rPr>
              <w:t>00mm</w:t>
            </w:r>
            <w:r>
              <w:rPr>
                <w:rFonts w:hint="eastAsia"/>
                <w:color w:val="000000" w:themeColor="text1"/>
                <w14:textFill>
                  <w14:solidFill>
                    <w14:schemeClr w14:val="tx1"/>
                  </w14:solidFill>
                </w14:textFill>
              </w:rPr>
              <w:t>/s</w:t>
            </w:r>
          </w:p>
        </w:tc>
        <w:tc>
          <w:tcPr>
            <w:tcW w:w="1992" w:type="dxa"/>
            <w:gridSpan w:val="3"/>
            <w:vAlign w:val="center"/>
          </w:tcPr>
          <w:p>
            <w:pPr>
              <w:jc w:val="center"/>
              <w:rPr>
                <w:color w:val="000000" w:themeColor="text1"/>
                <w14:textFill>
                  <w14:solidFill>
                    <w14:schemeClr w14:val="tx1"/>
                  </w14:solidFill>
                </w14:textFill>
              </w:rPr>
            </w:pPr>
            <w:r>
              <w:rPr>
                <w:rFonts w:hint="eastAsia" w:asciiTheme="minorHAnsi" w:eastAsiaTheme="minorEastAsia"/>
                <w:color w:val="000000" w:themeColor="text1"/>
                <w:lang w:val="en-US" w:eastAsia="zh-CN"/>
                <w14:textFill>
                  <w14:solidFill>
                    <w14:schemeClr w14:val="tx1"/>
                  </w14:solidFill>
                </w14:textFill>
              </w:rPr>
              <w:t>10</w:t>
            </w:r>
            <w:r>
              <w:rPr>
                <w:color w:val="000000" w:themeColor="text1"/>
                <w14:textFill>
                  <w14:solidFill>
                    <w14:schemeClr w14:val="tx1"/>
                  </w14:solidFill>
                </w14:textFill>
              </w:rPr>
              <w:t>00mm</w:t>
            </w:r>
            <w:r>
              <w:rPr>
                <w:rFonts w:hint="eastAsia"/>
                <w:color w:val="000000" w:themeColor="text1"/>
                <w14:textFill>
                  <w14:solidFill>
                    <w14:schemeClr w14:val="tx1"/>
                  </w14:solidFill>
                </w14:textFill>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定位精度</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3μm以内</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μm</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3μm以内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重复精度</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μm以内</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μm</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μm以内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分辨率</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0.1</w:t>
            </w:r>
            <w:r>
              <w:rPr>
                <w:color w:val="000000" w:themeColor="text1"/>
                <w14:textFill>
                  <w14:solidFill>
                    <w14:schemeClr w14:val="tx1"/>
                  </w14:solidFill>
                </w14:textFill>
              </w:rPr>
              <w:t>μm以内</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≤0.1</w:t>
            </w:r>
            <w:r>
              <w:rPr>
                <w:color w:val="000000" w:themeColor="text1"/>
                <w14:textFill>
                  <w14:solidFill>
                    <w14:schemeClr w14:val="tx1"/>
                  </w14:solidFill>
                </w14:textFill>
              </w:rPr>
              <w:t>μm</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0.1</w:t>
            </w:r>
            <w:r>
              <w:rPr>
                <w:color w:val="000000" w:themeColor="text1"/>
                <w14:textFill>
                  <w14:solidFill>
                    <w14:schemeClr w14:val="tx1"/>
                  </w14:solidFill>
                </w14:textFill>
              </w:rPr>
              <w:t>μm以内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restar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Z轴</w:t>
            </w: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伺服电机</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c>
          <w:tcPr>
            <w:tcW w:w="1912" w:type="dxa"/>
            <w:gridSpan w:val="2"/>
            <w:vAlign w:val="center"/>
          </w:tcPr>
          <w:p>
            <w:pPr>
              <w:jc w:val="center"/>
              <w:rPr>
                <w:color w:val="000000" w:themeColor="text1"/>
                <w14:textFill>
                  <w14:solidFill>
                    <w14:schemeClr w14:val="tx1"/>
                  </w14:solidFill>
                </w14:textFill>
              </w:rPr>
            </w:pP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丝杆</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c>
          <w:tcPr>
            <w:tcW w:w="1912" w:type="dxa"/>
            <w:gridSpan w:val="2"/>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日本(IKO)</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导轨</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c>
          <w:tcPr>
            <w:tcW w:w="1912" w:type="dxa"/>
            <w:gridSpan w:val="2"/>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日本(IKO)</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最大行程</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≥12</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m</w:t>
            </w:r>
          </w:p>
        </w:tc>
        <w:tc>
          <w:tcPr>
            <w:tcW w:w="1912" w:type="dxa"/>
            <w:gridSpan w:val="2"/>
            <w:vAlign w:val="center"/>
          </w:tcPr>
          <w:p>
            <w:pPr>
              <w:jc w:val="center"/>
              <w:rPr>
                <w:color w:val="000000" w:themeColor="text1"/>
                <w14:textFill>
                  <w14:solidFill>
                    <w14:schemeClr w14:val="tx1"/>
                  </w14:solidFill>
                </w14:textFill>
              </w:rPr>
            </w:pPr>
            <w:r>
              <w:rPr>
                <w:rFonts w:hint="eastAsia" w:asciiTheme="minorHAnsi" w:eastAsiaTheme="minor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m</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分辨率</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0.1</w:t>
            </w:r>
            <w:r>
              <w:rPr>
                <w:color w:val="000000" w:themeColor="text1"/>
                <w14:textFill>
                  <w14:solidFill>
                    <w14:schemeClr w14:val="tx1"/>
                  </w14:solidFill>
                </w14:textFill>
              </w:rPr>
              <w:t>μm</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0.1</w:t>
            </w:r>
            <w:r>
              <w:rPr>
                <w:color w:val="000000" w:themeColor="text1"/>
                <w14:textFill>
                  <w14:solidFill>
                    <w14:schemeClr w14:val="tx1"/>
                  </w14:solidFill>
                </w14:textFill>
              </w:rPr>
              <w:t>μm</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0.1</w:t>
            </w:r>
            <w:r>
              <w:rPr>
                <w:color w:val="000000" w:themeColor="text1"/>
                <w14:textFill>
                  <w14:solidFill>
                    <w14:schemeClr w14:val="tx1"/>
                  </w14:solidFill>
                </w14:textFill>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jc w:val="center"/>
              <w:rPr>
                <w:color w:val="000000" w:themeColor="text1"/>
                <w14:textFill>
                  <w14:solidFill>
                    <w14:schemeClr w14:val="tx1"/>
                  </w14:solidFill>
                </w14:textFill>
              </w:rPr>
            </w:pPr>
          </w:p>
        </w:tc>
        <w:tc>
          <w:tcPr>
            <w:tcW w:w="688" w:type="dxa"/>
            <w:vMerge w:val="continue"/>
            <w:vAlign w:val="center"/>
          </w:tcPr>
          <w:p>
            <w:pPr>
              <w:jc w:val="center"/>
              <w:rPr>
                <w:color w:val="000000" w:themeColor="text1"/>
                <w14:textFill>
                  <w14:solidFill>
                    <w14:schemeClr w14:val="tx1"/>
                  </w14:solidFill>
                </w14:textFill>
              </w:rPr>
            </w:pPr>
          </w:p>
        </w:tc>
        <w:tc>
          <w:tcPr>
            <w:tcW w:w="1924"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最大速度</w:t>
            </w:r>
          </w:p>
        </w:tc>
        <w:tc>
          <w:tcPr>
            <w:tcW w:w="1912" w:type="dxa"/>
            <w:gridSpan w:val="2"/>
            <w:vAlign w:val="center"/>
          </w:tcPr>
          <w:p>
            <w:pPr>
              <w:jc w:val="center"/>
              <w:rPr>
                <w:rFonts w:hint="eastAsia"/>
                <w:color w:val="000000" w:themeColor="text1"/>
                <w14:textFill>
                  <w14:solidFill>
                    <w14:schemeClr w14:val="tx1"/>
                  </w14:solidFill>
                </w14:textFill>
              </w:rPr>
            </w:pPr>
            <w:r>
              <w:rPr>
                <w:rFonts w:hint="eastAsia" w:asciiTheme="minorHAnsi" w:eastAsiaTheme="minor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0mm/s</w:t>
            </w:r>
          </w:p>
        </w:tc>
        <w:tc>
          <w:tcPr>
            <w:tcW w:w="1912"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w:t>
            </w:r>
            <w:r>
              <w:rPr>
                <w:color w:val="000000" w:themeColor="text1"/>
                <w14:textFill>
                  <w14:solidFill>
                    <w14:schemeClr w14:val="tx1"/>
                  </w14:solidFill>
                </w14:textFill>
              </w:rPr>
              <w:t>mm/s</w:t>
            </w:r>
          </w:p>
        </w:tc>
        <w:tc>
          <w:tcPr>
            <w:tcW w:w="1992"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w:t>
            </w:r>
            <w:r>
              <w:rPr>
                <w:color w:val="000000" w:themeColor="text1"/>
                <w14:textFill>
                  <w14:solidFill>
                    <w14:schemeClr w14:val="tx1"/>
                  </w14:solidFill>
                </w14:textFill>
              </w:rPr>
              <w:t>mm/s</w:t>
            </w:r>
          </w:p>
        </w:tc>
      </w:tr>
    </w:tbl>
    <w:p>
      <w:pPr>
        <w:keepNext w:val="0"/>
        <w:keepLines w:val="0"/>
        <w:widowControl/>
        <w:suppressLineNumbers w:val="0"/>
        <w:ind w:firstLine="640" w:firstLineChars="200"/>
        <w:jc w:val="left"/>
        <w:rPr>
          <w:rFonts w:hint="default" w:ascii="黑体" w:hAnsi="黑体" w:eastAsia="黑体" w:cs="黑体"/>
          <w:bCs/>
          <w:color w:val="000000" w:themeColor="text1"/>
          <w:kern w:val="0"/>
          <w:sz w:val="32"/>
          <w:szCs w:val="32"/>
          <w14:textFill>
            <w14:solidFill>
              <w14:schemeClr w14:val="tx1"/>
            </w14:solidFill>
          </w14:textFill>
        </w:rPr>
      </w:pPr>
      <w:r>
        <w:rPr>
          <w:rFonts w:hint="default" w:ascii="黑体" w:hAnsi="黑体" w:eastAsia="黑体" w:cs="黑体"/>
          <w:bCs/>
          <w:color w:val="000000" w:themeColor="text1"/>
          <w:kern w:val="0"/>
          <w:sz w:val="32"/>
          <w:szCs w:val="32"/>
          <w14:textFill>
            <w14:solidFill>
              <w14:schemeClr w14:val="tx1"/>
            </w14:solidFill>
          </w14:textFill>
        </w:rPr>
        <w:t>二、</w:t>
      </w:r>
      <w:r>
        <w:rPr>
          <w:rFonts w:hint="default" w:ascii="黑体" w:hAnsi="黑体" w:eastAsia="黑体" w:cs="黑体"/>
          <w:bCs/>
          <w:color w:val="000000" w:themeColor="text1"/>
          <w:kern w:val="0"/>
          <w:sz w:val="32"/>
          <w:szCs w:val="32"/>
          <w:lang w:val="en-US" w:eastAsia="zh-CN"/>
          <w14:textFill>
            <w14:solidFill>
              <w14:schemeClr w14:val="tx1"/>
            </w14:solidFill>
          </w14:textFill>
        </w:rPr>
        <w:t>大面积动态X射线成像传感器研发及产业化</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利用发榜方高性能金属氧化薄膜晶体管半导体器件研发制造平台，研发设计大面积动态X射线成像传感器，建立全套工艺流程，确定完整制程条件，确保该平台后续能够长期稳定生产，且制造成本与非晶硅薄膜晶体管技术条件下的制造成本基本保持一致。</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成果形式：</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产出基于碘化铯闪烁体以及金属氧化物薄膜晶体管光学传感基板技术的大面积动态X射线成像传感器。</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技术指标：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尺寸≥43cm×43cm。其中金属氧化物薄膜晶体管器件的电子迁移率≥7cm</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/（V·s），TFT漏电流≤10e</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-14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A，TFT器件PBTS≤2V、|NBTIS|≤2V，光量子效率≥70%（550nm）；X射线成像传感器器件空间分辨率≥5</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l</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p/mm；实现大面积动态X射线成像传感器产业化生产。</w:t>
      </w:r>
    </w:p>
    <w:p>
      <w:pPr>
        <w:keepNext w:val="0"/>
        <w:keepLines w:val="0"/>
        <w:widowControl/>
        <w:suppressLineNumbers w:val="0"/>
        <w:ind w:firstLine="640" w:firstLineChars="200"/>
        <w:jc w:val="left"/>
        <w:rPr>
          <w:rFonts w:hint="default" w:ascii="黑体" w:hAnsi="黑体" w:eastAsia="黑体" w:cs="黑体"/>
          <w:bCs/>
          <w:color w:val="000000" w:themeColor="text1"/>
          <w:kern w:val="0"/>
          <w:sz w:val="32"/>
          <w:szCs w:val="32"/>
          <w14:textFill>
            <w14:solidFill>
              <w14:schemeClr w14:val="tx1"/>
            </w14:solidFill>
          </w14:textFill>
        </w:rPr>
      </w:pPr>
      <w:r>
        <w:rPr>
          <w:rFonts w:hint="default" w:ascii="黑体" w:hAnsi="黑体" w:eastAsia="黑体" w:cs="黑体"/>
          <w:bCs/>
          <w:color w:val="000000" w:themeColor="text1"/>
          <w:kern w:val="0"/>
          <w:sz w:val="32"/>
          <w:szCs w:val="32"/>
          <w14:textFill>
            <w14:solidFill>
              <w14:schemeClr w14:val="tx1"/>
            </w14:solidFill>
          </w14:textFill>
        </w:rPr>
        <w:t>三、</w:t>
      </w:r>
      <w:r>
        <w:rPr>
          <w:rFonts w:hint="default" w:ascii="黑体" w:hAnsi="黑体" w:eastAsia="黑体" w:cs="黑体"/>
          <w:bCs/>
          <w:color w:val="000000" w:themeColor="text1"/>
          <w:kern w:val="0"/>
          <w:sz w:val="32"/>
          <w:szCs w:val="32"/>
          <w:lang w:val="en-US" w:eastAsia="zh-CN"/>
          <w14:textFill>
            <w14:solidFill>
              <w14:schemeClr w14:val="tx1"/>
            </w14:solidFill>
          </w14:textFill>
        </w:rPr>
        <w:t>商业航天星座集群跨域协同关键技术研究与验证</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以大规模低轨遥感星座集群为应用背景，</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研究与验证</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商业航天星座集群跨域协同关键技术，实现星座集群的整体协同任务规划、分布式执行和星地资源的统一运控管理、共享。</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需重点突破的技术难点：</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1.基于用户知识画像的需求推理与智能优化；</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2.面向星座集群的星地一体化协同技术；</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3.基于统一标准的资源服务化封装技术；</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color w:val="000000" w:themeColor="text1"/>
          <w:lang w:val="en-US"/>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4.面向星座集群的跨域协同验证系统。</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成果形式</w:t>
      </w:r>
      <w:r>
        <w:rPr>
          <w:rFonts w:hint="default" w:ascii="Times New Roman" w:hAnsi="Times New Roman" w:eastAsia="方正仿宋_GBK" w:cs="Times New Roman"/>
          <w:b/>
          <w:bCs/>
          <w:color w:val="000000" w:themeColor="text1"/>
          <w:kern w:val="0"/>
          <w:sz w:val="32"/>
          <w:szCs w:val="32"/>
          <w:lang w:eastAsia="zh-CN"/>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构建面向商用星座集群卫星的运控标准规范体系；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提出基于用户知识画像的需求推理与智能优化</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法，并完成工程化验证；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提出面向星座集群的星地一体化协同</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法，并完成工程化验证；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攻克基于统一标准的资源服务化封装技术，并完成工程化验证；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提出面向星座集群的跨域协同任务规划</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法，并完成工程化验证；</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开发涵盖多种载荷、多个星座的卫星数据库一套（包括但不限于轨道参数、姿态限制条件、成像分辨率等参数）；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研发面向星座集群的跨域协同任务规划平台系统；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研发星座集群统一测运控中心原型验证系统；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申请专利和软件著作权10项；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培养研究生不少于5人。</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技术指标：</w:t>
      </w:r>
    </w:p>
    <w:p>
      <w:pPr>
        <w:keepNext w:val="0"/>
        <w:keepLines w:val="0"/>
        <w:pageBreakBefore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630" w:leftChars="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协同能力</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)支持星座数：不小于10个（超出国内规划商业星座总数）；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)卫星数量：不小于2000颗(优于美国SpaceX公司Starlink星座卫星在轨总数)；</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)支持站网资源数：不小于200个（超出国内商业站网总数）；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)站网资源有效利用率：不小于60%（平均值）。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处理能力：集中调度24h内的任务数量100个以上，处理时间小于2min；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并发能力：同时接入用户数量10000个以上，支持大众用户并发提报；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场景支持：支持常规遥感、应急遥感、灾害遥感、战时等场景，预留扩展与民用卫星、特种卫星的接口；</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可视化能力：卫星、任务需求、地面站等的2D、3D显示。</w:t>
      </w:r>
    </w:p>
    <w:p>
      <w:pPr>
        <w:keepNext w:val="0"/>
        <w:keepLines w:val="0"/>
        <w:widowControl/>
        <w:suppressLineNumbers w:val="0"/>
        <w:ind w:firstLine="640" w:firstLineChars="200"/>
        <w:jc w:val="left"/>
        <w:rPr>
          <w:rFonts w:hint="default" w:ascii="Times New Roman" w:hAnsi="Times New Roman" w:eastAsia="方正黑体_GBK" w:cs="Times New Roman"/>
          <w:bCs/>
          <w:color w:val="000000" w:themeColor="text1"/>
          <w:kern w:val="0"/>
          <w:sz w:val="32"/>
          <w:szCs w:val="32"/>
          <w14:textFill>
            <w14:solidFill>
              <w14:schemeClr w14:val="tx1"/>
            </w14:solidFill>
          </w14:textFill>
        </w:rPr>
      </w:pPr>
      <w:r>
        <w:rPr>
          <w:rFonts w:hint="default" w:ascii="黑体" w:hAnsi="黑体" w:eastAsia="黑体" w:cs="黑体"/>
          <w:bCs/>
          <w:color w:val="000000" w:themeColor="text1"/>
          <w:kern w:val="0"/>
          <w:sz w:val="32"/>
          <w:szCs w:val="32"/>
          <w14:textFill>
            <w14:solidFill>
              <w14:schemeClr w14:val="tx1"/>
            </w14:solidFill>
          </w14:textFill>
        </w:rPr>
        <w:t>四、</w:t>
      </w:r>
      <w:r>
        <w:rPr>
          <w:rFonts w:hint="default" w:ascii="黑体" w:hAnsi="黑体" w:eastAsia="黑体" w:cs="黑体"/>
          <w:bCs/>
          <w:color w:val="000000" w:themeColor="text1"/>
          <w:kern w:val="0"/>
          <w:sz w:val="32"/>
          <w:szCs w:val="32"/>
          <w:lang w:val="en-US" w:eastAsia="zh-CN"/>
          <w14:textFill>
            <w14:solidFill>
              <w14:schemeClr w14:val="tx1"/>
            </w14:solidFill>
          </w14:textFill>
        </w:rPr>
        <w:t>面向新一代超声诊疗的高性能MEMS换能器芯片关键技</w:t>
      </w:r>
      <w:r>
        <w:rPr>
          <w:rFonts w:hint="default" w:ascii="Times New Roman" w:hAnsi="Times New Roman" w:eastAsia="方正黑体_GBK" w:cs="Times New Roman"/>
          <w:bCs/>
          <w:color w:val="000000" w:themeColor="text1"/>
          <w:kern w:val="0"/>
          <w:sz w:val="32"/>
          <w:szCs w:val="32"/>
          <w:lang w:val="en-US" w:eastAsia="zh-CN"/>
          <w14:textFill>
            <w14:solidFill>
              <w14:schemeClr w14:val="tx1"/>
            </w14:solidFill>
          </w14:textFill>
        </w:rPr>
        <w:t>术研究</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对标国际先进水平的荷兰飞利浦公司的LUMIFY手持式超声诊疗仪器CMUT产品，开展面向新一代超声诊疗的高性能CMUT芯片设计、制造、封装和接口电路关键技术研究，突破低功耗、低成本、高分辨率、三维实时成像等工程化技术，研制出商业化产品，推动智能化便携式、手持式超声诊疗设备应用。需重点突破的技术难点</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1.高性能CMUT多场耦合机理及阵列结构设计技术；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2.兼容CMOS的高密度二维阵列</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CMUT</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批量化、高可靠制备技术；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3.良好匹配人体声阻抗的低应力封装与测试技术；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color w:val="000000" w:themeColor="text1"/>
          <w:lang w:val="en-US" w:eastAsia="zh-CN"/>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4.低功耗二维阵列CMUT接口电路设计技术。</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成果形式：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 xml:space="preserve">高性能CMUT设计技术报告1套；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 xml:space="preserve">高性能CMUT高可靠工艺设计及制备报告1套；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3.</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高性能CMUT芯片鉴定文件及实验测试报告1套，产品通过安徽省省级或行业协会鉴定并形成销售；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申请专利≥5项，其中申请发明专利3项。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技术指标：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CMUT阵列数≥8×8；中心频率≥3MHz，分数带宽≥120%(-6dB）；阵元单位面积发射灵敏度≥1.5kPa/V/mm</w:t>
      </w:r>
      <w:r>
        <w:rPr>
          <w:rFonts w:hint="default" w:ascii="Times New Roman" w:hAnsi="Times New Roman" w:eastAsia="方正仿宋_GBK" w:cs="Times New Roman"/>
          <w:color w:val="000000" w:themeColor="text1"/>
          <w:kern w:val="2"/>
          <w:sz w:val="32"/>
          <w:szCs w:val="32"/>
          <w:vertAlign w:val="superscript"/>
          <w:lang w:val="en-US" w:eastAsia="zh-CN" w:bidi="ar-SA"/>
          <w14:textFill>
            <w14:solidFill>
              <w14:schemeClr w14:val="tx1"/>
            </w14:solidFill>
          </w14:textFill>
        </w:rPr>
        <w:t>2</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，接收灵敏度≥10µV/Pa/mm</w:t>
      </w:r>
      <w:r>
        <w:rPr>
          <w:rFonts w:hint="default" w:ascii="Times New Roman" w:hAnsi="Times New Roman" w:eastAsia="方正仿宋_GBK" w:cs="Times New Roman"/>
          <w:color w:val="000000" w:themeColor="text1"/>
          <w:kern w:val="2"/>
          <w:sz w:val="32"/>
          <w:szCs w:val="32"/>
          <w:vertAlign w:val="superscript"/>
          <w:lang w:val="en-US" w:eastAsia="zh-CN" w:bidi="ar-SA"/>
          <w14:textFill>
            <w14:solidFill>
              <w14:schemeClr w14:val="tx1"/>
            </w14:solidFill>
          </w14:textFill>
        </w:rPr>
        <w:t>2</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p>
    <w:p>
      <w:pPr>
        <w:keepNext w:val="0"/>
        <w:keepLines w:val="0"/>
        <w:widowControl/>
        <w:suppressLineNumbers w:val="0"/>
        <w:ind w:firstLine="640" w:firstLineChars="200"/>
        <w:jc w:val="left"/>
        <w:rPr>
          <w:rFonts w:hint="default" w:ascii="Times New Roman" w:hAnsi="Times New Roman" w:eastAsia="方正黑体_GBK" w:cs="Times New Roman"/>
          <w:bCs/>
          <w:color w:val="000000" w:themeColor="text1"/>
          <w:kern w:val="0"/>
          <w:sz w:val="32"/>
          <w:szCs w:val="32"/>
          <w14:textFill>
            <w14:solidFill>
              <w14:schemeClr w14:val="tx1"/>
            </w14:solidFill>
          </w14:textFill>
        </w:rPr>
      </w:pPr>
      <w:r>
        <w:rPr>
          <w:rFonts w:hint="default" w:ascii="黑体" w:hAnsi="黑体" w:eastAsia="黑体" w:cs="黑体"/>
          <w:bCs/>
          <w:color w:val="000000" w:themeColor="text1"/>
          <w:kern w:val="0"/>
          <w:sz w:val="32"/>
          <w:szCs w:val="32"/>
          <w14:textFill>
            <w14:solidFill>
              <w14:schemeClr w14:val="tx1"/>
            </w14:solidFill>
          </w14:textFill>
        </w:rPr>
        <w:t>五、</w:t>
      </w:r>
      <w:r>
        <w:rPr>
          <w:rFonts w:hint="default" w:ascii="黑体" w:hAnsi="黑体" w:eastAsia="黑体" w:cs="黑体"/>
          <w:bCs/>
          <w:color w:val="000000" w:themeColor="text1"/>
          <w:kern w:val="0"/>
          <w:sz w:val="32"/>
          <w:szCs w:val="32"/>
          <w:lang w:val="en-US" w:eastAsia="zh-CN"/>
          <w14:textFill>
            <w14:solidFill>
              <w14:schemeClr w14:val="tx1"/>
            </w14:solidFill>
          </w14:textFill>
        </w:rPr>
        <w:t>大型盾构超高性能滚刀和常压换刀设备研制及应用</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开发大型盾构工况用超高性能滚刀和常压换刀设备。需重点突破的技术难点有刀具的设计、刀具材料制备技术、刀具集成制造技术（机械加工、热处理、激光表面处理、焊接、装配、检测）、刀具性能综合评价和常压换刀关键技术等。</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成果形式：</w:t>
      </w:r>
    </w:p>
    <w:p>
      <w:pPr>
        <w:keepNext w:val="0"/>
        <w:keepLines w:val="0"/>
        <w:pageBreakBefore w:val="0"/>
        <w:widowControl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掌握超高性能滚刀和常压换刀设备制备感应加热、激光熔敷等关键技术。 </w:t>
      </w:r>
    </w:p>
    <w:p>
      <w:pPr>
        <w:keepNext w:val="0"/>
        <w:keepLines w:val="0"/>
        <w:pageBreakBefore w:val="0"/>
        <w:widowControl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申请专利10项，其中发明专利5项，获授权发明专利2项；发表相关中英文学术论文5篇。 </w:t>
      </w:r>
    </w:p>
    <w:p>
      <w:pPr>
        <w:keepNext w:val="0"/>
        <w:keepLines w:val="0"/>
        <w:pageBreakBefore w:val="0"/>
        <w:widowControl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发布企业标准2项；形成新产品2项，新装置2项，新工艺5项。</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技术指标：</w:t>
      </w:r>
    </w:p>
    <w:p>
      <w:pPr>
        <w:keepNext w:val="0"/>
        <w:keepLines w:val="0"/>
        <w:pageBreakBefore w:val="0"/>
        <w:widowControl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刀圈有梯度硬度变化，整体平均硬度达到50HRC，刀盘表层硬度达到55-65HRC，硬质合金刀尖部分70-80HRC。刀圈芯部吸收功AKU大于20J。</w:t>
      </w:r>
    </w:p>
    <w:p>
      <w:pPr>
        <w:keepNext w:val="0"/>
        <w:keepLines w:val="0"/>
        <w:pageBreakBefore w:val="0"/>
        <w:widowControl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研制新型常压换刀设备，攻克常压换刀设备的结构件和密封件长寿命及稳定性技术，实现开关500次仍满足密封要求。 </w:t>
      </w:r>
    </w:p>
    <w:p>
      <w:pPr>
        <w:keepNext w:val="0"/>
        <w:keepLines w:val="0"/>
        <w:pageBreakBefore w:val="0"/>
        <w:widowControl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研制高强度耐磨闸门，攻克高水压长寿命多层密封技术，设计了导向定位轴套装置，开发超高水压常压下封闭式换刀成套装备，形成更换工艺规程。</w:t>
      </w:r>
    </w:p>
    <w:p>
      <w:pPr>
        <w:keepNext w:val="0"/>
        <w:keepLines w:val="0"/>
        <w:widowControl/>
        <w:suppressLineNumbers w:val="0"/>
        <w:ind w:firstLine="640" w:firstLineChars="200"/>
        <w:jc w:val="left"/>
        <w:rPr>
          <w:rFonts w:hint="default" w:ascii="黑体" w:hAnsi="黑体" w:eastAsia="黑体" w:cs="黑体"/>
          <w:bCs/>
          <w:color w:val="000000" w:themeColor="text1"/>
          <w:kern w:val="0"/>
          <w:sz w:val="32"/>
          <w:szCs w:val="32"/>
          <w14:textFill>
            <w14:solidFill>
              <w14:schemeClr w14:val="tx1"/>
            </w14:solidFill>
          </w14:textFill>
        </w:rPr>
      </w:pPr>
      <w:r>
        <w:rPr>
          <w:rFonts w:hint="default" w:ascii="黑体" w:hAnsi="黑体" w:eastAsia="黑体" w:cs="黑体"/>
          <w:bCs/>
          <w:color w:val="000000" w:themeColor="text1"/>
          <w:kern w:val="0"/>
          <w:sz w:val="32"/>
          <w:szCs w:val="32"/>
          <w14:textFill>
            <w14:solidFill>
              <w14:schemeClr w14:val="tx1"/>
            </w14:solidFill>
          </w14:textFill>
        </w:rPr>
        <w:t>六、</w:t>
      </w:r>
      <w:r>
        <w:rPr>
          <w:rFonts w:hint="default" w:ascii="黑体" w:hAnsi="黑体" w:eastAsia="黑体" w:cs="黑体"/>
          <w:bCs/>
          <w:color w:val="000000" w:themeColor="text1"/>
          <w:kern w:val="0"/>
          <w:sz w:val="32"/>
          <w:szCs w:val="32"/>
          <w:lang w:val="en-US" w:eastAsia="zh-CN"/>
          <w14:textFill>
            <w14:solidFill>
              <w14:schemeClr w14:val="tx1"/>
            </w14:solidFill>
          </w14:textFill>
        </w:rPr>
        <w:t>国产化大飞机复杂型腔薄壁机匣的技术攻关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解决航天发动机轴承座等关键结构零部件整体铸造技术难题，实现国产化大飞机类复杂结构件产品的尺寸精准控制，掌握关键尺寸变形规律，对铸造冶金缺陷的检测和修复的质量得以可控，同时在制造过程中的蜡模、型壳等尺寸和性能得到保证，从而得到完整的工艺参数、工艺流程文件、工艺规范及合格的轴承座零件实物。需重点突破的技术难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1.完成高冶金质量铸件浇注工艺研究；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2.完成全尺寸轴承座铸件铸造应力、缺陷及组织调控控制技术研究；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3.轴承座铸件无损检测技术研究；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4.完成快速成型轴承座光敏树脂件、变强度模壳制备工艺研究；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5.轴承座的全尺寸精确控制技术研究；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6.全流程轴承座铸件稳型工装研制；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7.轴承座铸件热等静压工艺研究。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bCs/>
          <w:color w:val="000000" w:themeColor="text1"/>
          <w:kern w:val="0"/>
          <w:sz w:val="32"/>
          <w:szCs w:val="32"/>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成果形式</w:t>
      </w:r>
      <w:r>
        <w:rPr>
          <w:rFonts w:hint="default" w:ascii="Times New Roman" w:hAnsi="Times New Roman" w:eastAsia="方正仿宋_GBK" w:cs="Times New Roman"/>
          <w:b/>
          <w:bCs/>
          <w:color w:val="000000" w:themeColor="text1"/>
          <w:kern w:val="0"/>
          <w:sz w:val="32"/>
          <w:szCs w:val="32"/>
          <w:lang w:eastAsia="zh-CN"/>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1.轴承座铸件浇注系统设计数据文件及工艺规范，根据XXXXX要求汇编；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2.轴承座铸件快速成型光敏树脂模型数据；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3.轴承座铸件无损检测报告；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4.轴承座铸件尺寸检测报告；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5.蜡模模具及定型工装1套；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cs="Times New Roman"/>
          <w:color w:val="000000" w:themeColor="text1"/>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6.研发过程中产生的专利1份。</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技术指标：</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1.轴承座整体铸造成型，表面无裂纹、凹坑等铸造缺陷；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2.轴承座关键区域采用X射线检测，按XXXXX验收；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3.轴承座关键区域采用荧光检测，3级灵敏度，按XXXXX验收；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4.轴承座铸件尺寸精度满足图纸要求，表面粗糙度Ra=6.3；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5.轴承座铸件的化学成分和力学性能按XXXXX验收；</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6.对铸件指定区域进行打压试验，加压到0.1MPa-0.14MPa，零件放入水中，不允许泄露；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7.铸件按均匀化+热等静压+固溶热处理状态交付。</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注：XXXXX为客户验收规范，因涉密所以不能对外公布，揭榜单位在正式揭榜后可与我司联系。签署保密协议后再单独提供。</w:t>
      </w:r>
    </w:p>
    <w:p>
      <w:pPr>
        <w:keepNext w:val="0"/>
        <w:keepLines w:val="0"/>
        <w:widowControl/>
        <w:suppressLineNumbers w:val="0"/>
        <w:ind w:firstLine="640" w:firstLineChars="200"/>
        <w:jc w:val="left"/>
        <w:rPr>
          <w:rFonts w:hint="default" w:ascii="黑体" w:hAnsi="黑体" w:eastAsia="黑体" w:cs="黑体"/>
          <w:bCs/>
          <w:color w:val="000000" w:themeColor="text1"/>
          <w:kern w:val="0"/>
          <w:sz w:val="32"/>
          <w:szCs w:val="32"/>
          <w14:textFill>
            <w14:solidFill>
              <w14:schemeClr w14:val="tx1"/>
            </w14:solidFill>
          </w14:textFill>
        </w:rPr>
      </w:pPr>
      <w:r>
        <w:rPr>
          <w:rFonts w:hint="default" w:ascii="黑体" w:hAnsi="黑体" w:eastAsia="黑体" w:cs="黑体"/>
          <w:bCs/>
          <w:color w:val="000000" w:themeColor="text1"/>
          <w:kern w:val="0"/>
          <w:sz w:val="32"/>
          <w:szCs w:val="32"/>
          <w14:textFill>
            <w14:solidFill>
              <w14:schemeClr w14:val="tx1"/>
            </w14:solidFill>
          </w14:textFill>
        </w:rPr>
        <w:t>七、</w:t>
      </w:r>
      <w:r>
        <w:rPr>
          <w:rFonts w:hint="default" w:ascii="黑体" w:hAnsi="黑体" w:eastAsia="黑体" w:cs="黑体"/>
          <w:bCs/>
          <w:color w:val="000000" w:themeColor="text1"/>
          <w:kern w:val="0"/>
          <w:sz w:val="32"/>
          <w:szCs w:val="32"/>
          <w:lang w:val="en-US" w:eastAsia="zh-CN"/>
          <w14:textFill>
            <w14:solidFill>
              <w14:schemeClr w14:val="tx1"/>
            </w14:solidFill>
          </w14:textFill>
        </w:rPr>
        <w:t>屏蔽X射线与伽玛射线及混合场辐射的亚克力板材制备关键技术</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研究屏蔽X射线和γ射线及混合场辐射的亚克力板材制备关键技术，开发一种光学透明度好、质轻性韧，良好加工性能的新型材料</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需重点突破的技术难点：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防辐射材料的透明度；防辐射材料的铅当量；防辐射材料的光/热/辐照稳定性；X射线/γ射线及混合场辐射防护。</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成果形式</w:t>
      </w:r>
      <w:r>
        <w:rPr>
          <w:rFonts w:hint="default" w:ascii="Times New Roman" w:hAnsi="Times New Roman" w:eastAsia="方正仿宋_GBK" w:cs="Times New Roman"/>
          <w:b/>
          <w:bCs/>
          <w:color w:val="000000" w:themeColor="text1"/>
          <w:kern w:val="0"/>
          <w:sz w:val="32"/>
          <w:szCs w:val="32"/>
          <w:lang w:eastAsia="zh-CN"/>
          <w14:textFill>
            <w14:solidFill>
              <w14:schemeClr w14:val="tx1"/>
            </w14:solidFill>
          </w14:textFill>
        </w:rPr>
        <w:t>：</w:t>
      </w:r>
    </w:p>
    <w:p>
      <w:pPr>
        <w:keepNext w:val="0"/>
        <w:keepLines w:val="0"/>
        <w:pageBreakBefore w:val="0"/>
        <w:widowControl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提供具有防护X射线/γ射线及混合场辐射的亚克力板材样品，厚度为5-8-10-18-22mm等不同规格。</w:t>
      </w:r>
    </w:p>
    <w:p>
      <w:pPr>
        <w:keepNext w:val="0"/>
        <w:keepLines w:val="0"/>
        <w:pageBreakBefore w:val="0"/>
        <w:widowControl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供1-2家医疗单位或防辐射应用企业实际应用测试，并提供用户测试报告。</w:t>
      </w:r>
    </w:p>
    <w:p>
      <w:pPr>
        <w:keepNext w:val="0"/>
        <w:keepLines w:val="0"/>
        <w:pageBreakBefore w:val="0"/>
        <w:widowControl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申请国家发明专利2项。</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技术指标：</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防护X射线铅有机玻璃屏蔽板（以某一种规格举例）</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铅含量:15%</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铅当量:0.2mmPb（10mm厚）</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透光率：≥80%</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冲击强度：≥1.5KJ/m</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拉伸强度：≥30MPa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维卡软化点：≥85℃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密度：1.4g/cm</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防护γ射线有机玻璃屏蔽版</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γ射线屏蔽率60%以上，其它指标参考X射线铅有机玻璃屏蔽板，或与应用单位协商。</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防护X射线/γ射线混合场辐射有机玻璃屏蔽板</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X射线屏蔽率90%以上，γ射线屏蔽率60%以上，其它指标参考X射线铅有机玻璃屏蔽板，或与应用单位协商。</w:t>
      </w:r>
    </w:p>
    <w:p>
      <w:pPr>
        <w:keepNext w:val="0"/>
        <w:keepLines w:val="0"/>
        <w:widowControl/>
        <w:suppressLineNumbers w:val="0"/>
        <w:ind w:firstLine="640" w:firstLineChars="200"/>
        <w:jc w:val="left"/>
        <w:rPr>
          <w:rFonts w:hint="default" w:ascii="黑体" w:hAnsi="黑体" w:eastAsia="黑体" w:cs="黑体"/>
          <w:bCs/>
          <w:color w:val="000000" w:themeColor="text1"/>
          <w:kern w:val="0"/>
          <w:sz w:val="32"/>
          <w:szCs w:val="32"/>
          <w14:textFill>
            <w14:solidFill>
              <w14:schemeClr w14:val="tx1"/>
            </w14:solidFill>
          </w14:textFill>
        </w:rPr>
      </w:pPr>
      <w:r>
        <w:rPr>
          <w:rFonts w:hint="default" w:ascii="黑体" w:hAnsi="黑体" w:eastAsia="黑体" w:cs="黑体"/>
          <w:bCs/>
          <w:color w:val="000000" w:themeColor="text1"/>
          <w:kern w:val="0"/>
          <w:sz w:val="32"/>
          <w:szCs w:val="32"/>
          <w14:textFill>
            <w14:solidFill>
              <w14:schemeClr w14:val="tx1"/>
            </w14:solidFill>
          </w14:textFill>
        </w:rPr>
        <w:t>八、</w:t>
      </w:r>
      <w:r>
        <w:rPr>
          <w:rFonts w:hint="default" w:ascii="黑体" w:hAnsi="黑体" w:eastAsia="黑体" w:cs="黑体"/>
          <w:bCs/>
          <w:color w:val="000000" w:themeColor="text1"/>
          <w:kern w:val="0"/>
          <w:sz w:val="32"/>
          <w:szCs w:val="32"/>
          <w:lang w:val="en-US" w:eastAsia="zh-CN"/>
          <w14:textFill>
            <w14:solidFill>
              <w14:schemeClr w14:val="tx1"/>
            </w14:solidFill>
          </w14:textFill>
        </w:rPr>
        <w:t>新能源汽车驱动电机用高强无取向电工钢关键技术及产业化应用</w:t>
      </w:r>
    </w:p>
    <w:p>
      <w:pPr>
        <w:keepNext w:val="0"/>
        <w:keepLines w:val="0"/>
        <w:pageBreakBefore w:val="0"/>
        <w:widowControl w:val="0"/>
        <w:numPr>
          <w:ilvl w:val="0"/>
          <w:numId w:val="0"/>
        </w:numPr>
        <w:kinsoku/>
        <w:wordWrap/>
        <w:overflowPunct/>
        <w:topLinePunct w:val="0"/>
        <w:bidi w:val="0"/>
        <w:spacing w:line="600" w:lineRule="exact"/>
        <w:ind w:left="0" w:leftChars="0" w:firstLine="640" w:firstLineChars="200"/>
        <w:jc w:val="both"/>
        <w:textAlignment w:val="auto"/>
        <w:outlineLvl w:val="9"/>
        <w:rPr>
          <w:rFonts w:hint="eastAsia"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lang w:val="en-US" w:eastAsia="zh-CN" w:bidi="ar-SA"/>
          <w14:textFill>
            <w14:solidFill>
              <w14:schemeClr w14:val="tx1"/>
            </w14:solidFill>
          </w14:textFill>
        </w:rPr>
        <w:t>需求目标：</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新能源汽车驱动电机用无取向电工钢制造</w:t>
      </w:r>
      <w:r>
        <w:rPr>
          <w:rFonts w:hint="eastAsia"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及产业化。需重点突破的技术难点：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1.</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建立新能源汽车驱动电机用无取向电工钢成分体系；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2.</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形成新能源汽车驱动电机用无取向电工钢生产流程关键技术，保证生产过程顺行，产品质量稳定；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3.</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建立新能源汽车驱动电机用无取向电工钢综合性能（高强度、低铁损、高磁感）调控机制，保证成品磁性能、力学性能达到理想水平；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4.</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形成15万吨/年新能源汽车驱动电机用电工钢带示范生产线，并开发5个以上系列化新产品牌号。</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lang w:eastAsia="zh-CN"/>
          <w14:textFill>
            <w14:solidFill>
              <w14:schemeClr w14:val="tx1"/>
            </w14:solidFill>
          </w14:textFill>
        </w:rPr>
        <w:t>成果形式：</w:t>
      </w:r>
    </w:p>
    <w:p>
      <w:pPr>
        <w:keepNext w:val="0"/>
        <w:keepLines w:val="0"/>
        <w:pageBreakBefore w:val="0"/>
        <w:widowControl w:val="0"/>
        <w:kinsoku/>
        <w:wordWrap/>
        <w:overflowPunct/>
        <w:topLinePunct w:val="0"/>
        <w:bidi w:val="0"/>
        <w:spacing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1.</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 xml:space="preserve">科技成果：开发新能源汽车驱动电机用无取向电工钢5个以上牌号，制定相应标准和规范2-3项。 </w:t>
      </w:r>
    </w:p>
    <w:p>
      <w:pPr>
        <w:keepNext w:val="0"/>
        <w:keepLines w:val="0"/>
        <w:pageBreakBefore w:val="0"/>
        <w:widowControl w:val="0"/>
        <w:kinsoku/>
        <w:wordWrap/>
        <w:overflowPunct/>
        <w:topLinePunct w:val="0"/>
        <w:bidi w:val="0"/>
        <w:spacing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2.</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 xml:space="preserve">知识产权：发明专利申请数10项，发表论文5篇，技术秘密20项。 </w:t>
      </w:r>
    </w:p>
    <w:p>
      <w:pPr>
        <w:keepNext w:val="0"/>
        <w:keepLines w:val="0"/>
        <w:pageBreakBefore w:val="0"/>
        <w:widowControl w:val="0"/>
        <w:kinsoku/>
        <w:wordWrap/>
        <w:overflowPunct/>
        <w:topLinePunct w:val="0"/>
        <w:bidi w:val="0"/>
        <w:spacing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3.</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形成年产15万吨薄规格高牌号电工钢制造示范线。</w:t>
      </w:r>
    </w:p>
    <w:p>
      <w:pPr>
        <w:keepNext w:val="0"/>
        <w:keepLines w:val="0"/>
        <w:pageBreakBefore w:val="0"/>
        <w:widowControl w:val="0"/>
        <w:kinsoku/>
        <w:wordWrap/>
        <w:overflowPunct/>
        <w:topLinePunct w:val="0"/>
        <w:bidi w:val="0"/>
        <w:spacing w:line="600" w:lineRule="exact"/>
        <w:ind w:left="0" w:leftChars="0" w:firstLine="640" w:firstLineChars="200"/>
        <w:jc w:val="lef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4.</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形成技术标准、技术规范2-3项。</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技术指标：</w:t>
      </w:r>
    </w:p>
    <w:p>
      <w:pPr>
        <w:keepNext w:val="0"/>
        <w:keepLines w:val="0"/>
        <w:pageBreakBefore w:val="0"/>
        <w:widowControl w:val="0"/>
        <w:kinsoku/>
        <w:wordWrap/>
        <w:overflowPunct/>
        <w:topLinePunct w:val="0"/>
        <w:bidi w:val="0"/>
        <w:spacing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开发5个以上牌号新产品，产品性能达到国际先进水平。典型牌号产品性能达到：</w:t>
      </w:r>
    </w:p>
    <w:p>
      <w:pPr>
        <w:keepNext w:val="0"/>
        <w:keepLines w:val="0"/>
        <w:pageBreakBefore w:val="0"/>
        <w:widowControl w:val="0"/>
        <w:kinsoku/>
        <w:wordWrap/>
        <w:overflowPunct/>
        <w:topLinePunct w:val="0"/>
        <w:bidi w:val="0"/>
        <w:spacing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 xml:space="preserve">AV系列： </w:t>
      </w:r>
    </w:p>
    <w:p>
      <w:pPr>
        <w:keepNext w:val="0"/>
        <w:keepLines w:val="0"/>
        <w:pageBreakBefore w:val="0"/>
        <w:widowControl w:val="0"/>
        <w:kinsoku/>
        <w:wordWrap/>
        <w:overflowPunct/>
        <w:topLinePunct w:val="0"/>
        <w:bidi w:val="0"/>
        <w:spacing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0.20mm：P</w:t>
      </w:r>
      <w:r>
        <w:rPr>
          <w:rFonts w:hint="default" w:ascii="Times New Roman" w:hAnsi="Times New Roman" w:eastAsia="方正仿宋_GBK" w:cs="Times New Roman"/>
          <w:b w:val="0"/>
          <w:bCs w:val="0"/>
          <w:color w:val="000000" w:themeColor="text1"/>
          <w:kern w:val="0"/>
          <w:sz w:val="32"/>
          <w:szCs w:val="32"/>
          <w:vertAlign w:val="subscript"/>
          <w:lang w:val="en-US" w:eastAsia="zh-CN" w:bidi="ar-SA"/>
          <w14:textFill>
            <w14:solidFill>
              <w14:schemeClr w14:val="tx1"/>
            </w14:solidFill>
          </w14:textFill>
        </w:rPr>
        <w:t>1.0/400</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≤12.0W/kg，B</w:t>
      </w:r>
      <w:r>
        <w:rPr>
          <w:rFonts w:hint="default" w:ascii="Times New Roman" w:hAnsi="Times New Roman" w:eastAsia="方正仿宋_GBK" w:cs="Times New Roman"/>
          <w:b w:val="0"/>
          <w:bCs w:val="0"/>
          <w:color w:val="000000" w:themeColor="text1"/>
          <w:kern w:val="0"/>
          <w:sz w:val="32"/>
          <w:szCs w:val="32"/>
          <w:vertAlign w:val="subscript"/>
          <w:lang w:val="en-US" w:eastAsia="zh-CN" w:bidi="ar-SA"/>
          <w14:textFill>
            <w14:solidFill>
              <w14:schemeClr w14:val="tx1"/>
            </w14:solidFill>
          </w14:textFill>
        </w:rPr>
        <w:t>50</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 xml:space="preserve">≥1.61T，ReL≥400MPa，Rm≥490MPa； </w:t>
      </w:r>
    </w:p>
    <w:p>
      <w:pPr>
        <w:keepNext w:val="0"/>
        <w:keepLines w:val="0"/>
        <w:pageBreakBefore w:val="0"/>
        <w:widowControl w:val="0"/>
        <w:kinsoku/>
        <w:wordWrap/>
        <w:overflowPunct/>
        <w:topLinePunct w:val="0"/>
        <w:bidi w:val="0"/>
        <w:spacing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0.25mm：P</w:t>
      </w:r>
      <w:r>
        <w:rPr>
          <w:rFonts w:hint="default" w:ascii="Times New Roman" w:hAnsi="Times New Roman" w:eastAsia="方正仿宋_GBK" w:cs="Times New Roman"/>
          <w:b w:val="0"/>
          <w:bCs w:val="0"/>
          <w:color w:val="000000" w:themeColor="text1"/>
          <w:kern w:val="0"/>
          <w:sz w:val="32"/>
          <w:szCs w:val="32"/>
          <w:vertAlign w:val="subscript"/>
          <w:lang w:val="en-US" w:eastAsia="zh-CN" w:bidi="ar-SA"/>
          <w14:textFill>
            <w14:solidFill>
              <w14:schemeClr w14:val="tx1"/>
            </w14:solidFill>
          </w14:textFill>
        </w:rPr>
        <w:t>1.0/400</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≤13.0W/kg，B</w:t>
      </w:r>
      <w:r>
        <w:rPr>
          <w:rFonts w:hint="default" w:ascii="Times New Roman" w:hAnsi="Times New Roman" w:eastAsia="方正仿宋_GBK" w:cs="Times New Roman"/>
          <w:b w:val="0"/>
          <w:bCs w:val="0"/>
          <w:color w:val="000000" w:themeColor="text1"/>
          <w:kern w:val="0"/>
          <w:sz w:val="32"/>
          <w:szCs w:val="32"/>
          <w:vertAlign w:val="subscript"/>
          <w:lang w:val="en-US" w:eastAsia="zh-CN" w:bidi="ar-SA"/>
          <w14:textFill>
            <w14:solidFill>
              <w14:schemeClr w14:val="tx1"/>
            </w14:solidFill>
          </w14:textFill>
        </w:rPr>
        <w:t>50</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 xml:space="preserve">≥1.61T，ReL≥420MPa，Rm≥490MPa； </w:t>
      </w:r>
    </w:p>
    <w:p>
      <w:pPr>
        <w:keepNext w:val="0"/>
        <w:keepLines w:val="0"/>
        <w:pageBreakBefore w:val="0"/>
        <w:widowControl w:val="0"/>
        <w:kinsoku/>
        <w:wordWrap/>
        <w:overflowPunct/>
        <w:topLinePunct w:val="0"/>
        <w:bidi w:val="0"/>
        <w:spacing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0.30mm：P</w:t>
      </w:r>
      <w:r>
        <w:rPr>
          <w:rFonts w:hint="default" w:ascii="Times New Roman" w:hAnsi="Times New Roman" w:eastAsia="方正仿宋_GBK" w:cs="Times New Roman"/>
          <w:b w:val="0"/>
          <w:bCs w:val="0"/>
          <w:color w:val="000000" w:themeColor="text1"/>
          <w:kern w:val="0"/>
          <w:sz w:val="32"/>
          <w:szCs w:val="32"/>
          <w:vertAlign w:val="subscript"/>
          <w:lang w:val="en-US" w:eastAsia="zh-CN" w:bidi="ar-SA"/>
          <w14:textFill>
            <w14:solidFill>
              <w14:schemeClr w14:val="tx1"/>
            </w14:solidFill>
          </w14:textFill>
        </w:rPr>
        <w:t>1.0/400</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≤15.0W/kg，B</w:t>
      </w:r>
      <w:r>
        <w:rPr>
          <w:rFonts w:hint="default" w:ascii="Times New Roman" w:hAnsi="Times New Roman" w:eastAsia="方正仿宋_GBK" w:cs="Times New Roman"/>
          <w:b w:val="0"/>
          <w:bCs w:val="0"/>
          <w:color w:val="000000" w:themeColor="text1"/>
          <w:kern w:val="0"/>
          <w:sz w:val="32"/>
          <w:szCs w:val="32"/>
          <w:vertAlign w:val="subscript"/>
          <w:lang w:val="en-US" w:eastAsia="zh-CN" w:bidi="ar-SA"/>
          <w14:textFill>
            <w14:solidFill>
              <w14:schemeClr w14:val="tx1"/>
            </w14:solidFill>
          </w14:textFill>
        </w:rPr>
        <w:t>50</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 xml:space="preserve">≥1.62T，ReL≥440MPa，Rm≥510MPa； </w:t>
      </w:r>
    </w:p>
    <w:p>
      <w:pPr>
        <w:keepNext w:val="0"/>
        <w:keepLines w:val="0"/>
        <w:pageBreakBefore w:val="0"/>
        <w:widowControl w:val="0"/>
        <w:kinsoku/>
        <w:wordWrap/>
        <w:overflowPunct/>
        <w:topLinePunct w:val="0"/>
        <w:bidi w:val="0"/>
        <w:spacing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 xml:space="preserve">AHV系列： </w:t>
      </w:r>
    </w:p>
    <w:p>
      <w:pPr>
        <w:keepNext w:val="0"/>
        <w:keepLines w:val="0"/>
        <w:pageBreakBefore w:val="0"/>
        <w:widowControl w:val="0"/>
        <w:kinsoku/>
        <w:wordWrap/>
        <w:overflowPunct/>
        <w:topLinePunct w:val="0"/>
        <w:bidi w:val="0"/>
        <w:spacing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0.20mm：P</w:t>
      </w:r>
      <w:r>
        <w:rPr>
          <w:rFonts w:hint="default" w:ascii="Times New Roman" w:hAnsi="Times New Roman" w:eastAsia="方正仿宋_GBK" w:cs="Times New Roman"/>
          <w:b w:val="0"/>
          <w:bCs w:val="0"/>
          <w:color w:val="000000" w:themeColor="text1"/>
          <w:kern w:val="0"/>
          <w:sz w:val="32"/>
          <w:szCs w:val="32"/>
          <w:vertAlign w:val="subscript"/>
          <w:lang w:val="en-US" w:eastAsia="zh-CN" w:bidi="ar-SA"/>
          <w14:textFill>
            <w14:solidFill>
              <w14:schemeClr w14:val="tx1"/>
            </w14:solidFill>
          </w14:textFill>
        </w:rPr>
        <w:t>1.0/400</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≤12.0W/kg，B</w:t>
      </w:r>
      <w:r>
        <w:rPr>
          <w:rFonts w:hint="default" w:ascii="Times New Roman" w:hAnsi="Times New Roman" w:eastAsia="方正仿宋_GBK" w:cs="Times New Roman"/>
          <w:b w:val="0"/>
          <w:bCs w:val="0"/>
          <w:color w:val="000000" w:themeColor="text1"/>
          <w:kern w:val="0"/>
          <w:sz w:val="32"/>
          <w:szCs w:val="32"/>
          <w:vertAlign w:val="subscript"/>
          <w:lang w:val="en-US" w:eastAsia="zh-CN" w:bidi="ar-SA"/>
          <w14:textFill>
            <w14:solidFill>
              <w14:schemeClr w14:val="tx1"/>
            </w14:solidFill>
          </w14:textFill>
        </w:rPr>
        <w:t>50</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 xml:space="preserve">≥1.64T，ReL≥400MPa，Rm≥490MPa； </w:t>
      </w:r>
    </w:p>
    <w:p>
      <w:pPr>
        <w:keepNext w:val="0"/>
        <w:keepLines w:val="0"/>
        <w:pageBreakBefore w:val="0"/>
        <w:widowControl w:val="0"/>
        <w:kinsoku/>
        <w:wordWrap/>
        <w:overflowPunct/>
        <w:topLinePunct w:val="0"/>
        <w:bidi w:val="0"/>
        <w:spacing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0.27mm：P</w:t>
      </w:r>
      <w:r>
        <w:rPr>
          <w:rFonts w:hint="default" w:ascii="Times New Roman" w:hAnsi="Times New Roman" w:eastAsia="方正仿宋_GBK" w:cs="Times New Roman"/>
          <w:b w:val="0"/>
          <w:bCs w:val="0"/>
          <w:color w:val="000000" w:themeColor="text1"/>
          <w:kern w:val="0"/>
          <w:sz w:val="32"/>
          <w:szCs w:val="32"/>
          <w:vertAlign w:val="subscript"/>
          <w:lang w:val="en-US" w:eastAsia="zh-CN" w:bidi="ar-SA"/>
          <w14:textFill>
            <w14:solidFill>
              <w14:schemeClr w14:val="tx1"/>
            </w14:solidFill>
          </w14:textFill>
        </w:rPr>
        <w:t>1.0/400</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≤14.0W/kg，B</w:t>
      </w:r>
      <w:r>
        <w:rPr>
          <w:rFonts w:hint="default" w:ascii="Times New Roman" w:hAnsi="Times New Roman" w:eastAsia="方正仿宋_GBK" w:cs="Times New Roman"/>
          <w:b w:val="0"/>
          <w:bCs w:val="0"/>
          <w:color w:val="000000" w:themeColor="text1"/>
          <w:kern w:val="0"/>
          <w:sz w:val="32"/>
          <w:szCs w:val="32"/>
          <w:vertAlign w:val="subscript"/>
          <w:lang w:val="en-US" w:eastAsia="zh-CN" w:bidi="ar-SA"/>
          <w14:textFill>
            <w14:solidFill>
              <w14:schemeClr w14:val="tx1"/>
            </w14:solidFill>
          </w14:textFill>
        </w:rPr>
        <w:t>50</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 xml:space="preserve">≥1.64T，ReL≥410MPa，Rm≥490MPa； </w:t>
      </w:r>
    </w:p>
    <w:p>
      <w:pPr>
        <w:keepNext w:val="0"/>
        <w:keepLines w:val="0"/>
        <w:pageBreakBefore w:val="0"/>
        <w:widowControl w:val="0"/>
        <w:kinsoku/>
        <w:wordWrap/>
        <w:overflowPunct/>
        <w:topLinePunct w:val="0"/>
        <w:bidi w:val="0"/>
        <w:spacing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0.30mm：P</w:t>
      </w:r>
      <w:r>
        <w:rPr>
          <w:rFonts w:hint="default" w:ascii="Times New Roman" w:hAnsi="Times New Roman" w:eastAsia="方正仿宋_GBK" w:cs="Times New Roman"/>
          <w:b w:val="0"/>
          <w:bCs w:val="0"/>
          <w:color w:val="000000" w:themeColor="text1"/>
          <w:kern w:val="0"/>
          <w:sz w:val="32"/>
          <w:szCs w:val="32"/>
          <w:vertAlign w:val="subscript"/>
          <w:lang w:val="en-US" w:eastAsia="zh-CN" w:bidi="ar-SA"/>
          <w14:textFill>
            <w14:solidFill>
              <w14:schemeClr w14:val="tx1"/>
            </w14:solidFill>
          </w14:textFill>
        </w:rPr>
        <w:t>1.0/400</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≤15.0W/kg，B</w:t>
      </w:r>
      <w:r>
        <w:rPr>
          <w:rFonts w:hint="default" w:ascii="Times New Roman" w:hAnsi="Times New Roman" w:eastAsia="方正仿宋_GBK" w:cs="Times New Roman"/>
          <w:b w:val="0"/>
          <w:bCs w:val="0"/>
          <w:color w:val="000000" w:themeColor="text1"/>
          <w:kern w:val="0"/>
          <w:sz w:val="32"/>
          <w:szCs w:val="32"/>
          <w:vertAlign w:val="subscript"/>
          <w:lang w:val="en-US" w:eastAsia="zh-CN" w:bidi="ar-SA"/>
          <w14:textFill>
            <w14:solidFill>
              <w14:schemeClr w14:val="tx1"/>
            </w14:solidFill>
          </w14:textFill>
        </w:rPr>
        <w:t>50</w:t>
      </w:r>
      <w:r>
        <w:rPr>
          <w:rFonts w:hint="default" w:ascii="Times New Roman" w:hAnsi="Times New Roman" w:eastAsia="方正仿宋_GBK" w:cs="Times New Roman"/>
          <w:b w:val="0"/>
          <w:bCs w:val="0"/>
          <w:color w:val="000000" w:themeColor="text1"/>
          <w:kern w:val="0"/>
          <w:sz w:val="32"/>
          <w:szCs w:val="32"/>
          <w:lang w:val="en-US" w:eastAsia="zh-CN" w:bidi="ar-SA"/>
          <w14:textFill>
            <w14:solidFill>
              <w14:schemeClr w14:val="tx1"/>
            </w14:solidFill>
          </w14:textFill>
        </w:rPr>
        <w:t>≥1.65T，ReL≥410MPa，Rm≥500MPa。</w:t>
      </w:r>
    </w:p>
    <w:p>
      <w:pPr>
        <w:keepNext w:val="0"/>
        <w:keepLines w:val="0"/>
        <w:widowControl/>
        <w:suppressLineNumbers w:val="0"/>
        <w:ind w:firstLine="640" w:firstLineChars="200"/>
        <w:jc w:val="left"/>
        <w:rPr>
          <w:rFonts w:hint="default" w:ascii="黑体" w:hAnsi="黑体" w:eastAsia="黑体" w:cs="黑体"/>
          <w:bCs/>
          <w:color w:val="000000" w:themeColor="text1"/>
          <w:kern w:val="0"/>
          <w:sz w:val="32"/>
          <w:szCs w:val="32"/>
          <w14:textFill>
            <w14:solidFill>
              <w14:schemeClr w14:val="tx1"/>
            </w14:solidFill>
          </w14:textFill>
        </w:rPr>
      </w:pPr>
      <w:r>
        <w:rPr>
          <w:rFonts w:hint="default" w:ascii="黑体" w:hAnsi="黑体" w:eastAsia="黑体" w:cs="黑体"/>
          <w:bCs/>
          <w:color w:val="000000" w:themeColor="text1"/>
          <w:kern w:val="0"/>
          <w:sz w:val="32"/>
          <w:szCs w:val="32"/>
          <w14:textFill>
            <w14:solidFill>
              <w14:schemeClr w14:val="tx1"/>
            </w14:solidFill>
          </w14:textFill>
        </w:rPr>
        <w:t>九、</w:t>
      </w:r>
      <w:r>
        <w:rPr>
          <w:rFonts w:hint="default" w:ascii="黑体" w:hAnsi="黑体" w:eastAsia="黑体" w:cs="黑体"/>
          <w:bCs/>
          <w:color w:val="000000" w:themeColor="text1"/>
          <w:kern w:val="0"/>
          <w:sz w:val="32"/>
          <w:szCs w:val="32"/>
          <w:lang w:val="en-US" w:eastAsia="zh-CN"/>
          <w14:textFill>
            <w14:solidFill>
              <w14:schemeClr w14:val="tx1"/>
            </w14:solidFill>
          </w14:textFill>
        </w:rPr>
        <w:t>高强透明微晶玻璃关键技术研发</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针对移动终端用盖板玻璃对耐摔、耐刮擦、耐冲击等性能的需求，实现高强透明微晶玻璃的规模化制备。</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重点突破的技术难点：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研制高强度高透过率微晶玻璃组成配方；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微晶玻璃熔制、压延成型技术攻关；</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解决微晶玻璃的后端加工和应用技术问题。</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w:t>
      </w:r>
      <w:r>
        <w:rPr>
          <w:rFonts w:hint="default" w:ascii="Times New Roman" w:hAnsi="Times New Roman" w:eastAsia="方正仿宋_GBK" w:cs="Times New Roman"/>
          <w:b/>
          <w:bCs/>
          <w:color w:val="000000" w:themeColor="text1"/>
          <w:kern w:val="0"/>
          <w:sz w:val="32"/>
          <w:szCs w:val="32"/>
          <w:lang w:eastAsia="zh-CN"/>
          <w14:textFill>
            <w14:solidFill>
              <w14:schemeClr w14:val="tx1"/>
            </w14:solidFill>
          </w14:textFill>
        </w:rPr>
        <w:t>形式</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实物成果：</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开发高强透明微晶玻璃关键技术和成套工艺装备并成功应用；</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建成移动终端用高强透明微晶玻璃小规模生产线一条；</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满足指定性能指标的高强透明微晶玻璃小批量产品。</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知识产权：</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申请专利15项，其中发明10项，实用新型5项；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发表学术论文3篇。</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技术指标：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密度2.4～2.6g/cm</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；弹性模量&gt;9</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GPa；强化前硬度&gt;700kgf/mm</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；强化后硬度&gt;750kgf/mm</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；断裂韧性≥1.0MPa·m</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1/2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；膨胀系数70-80（10</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/K）；软化点&lt;800（10</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7.6</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dPa·S(℃)）；折射率&lt;1.58ND；透光率≥90%；应力层深度≥100μm；跌落情况（实测数据）≥1.8m（180目砂纸(2.5D)）。</w:t>
      </w:r>
    </w:p>
    <w:p>
      <w:pPr>
        <w:keepNext w:val="0"/>
        <w:keepLines w:val="0"/>
        <w:widowControl/>
        <w:suppressLineNumbers w:val="0"/>
        <w:ind w:firstLine="640" w:firstLineChars="200"/>
        <w:jc w:val="left"/>
        <w:rPr>
          <w:rFonts w:hint="default" w:ascii="黑体" w:hAnsi="黑体" w:eastAsia="黑体" w:cs="黑体"/>
          <w:bCs/>
          <w:color w:val="000000" w:themeColor="text1"/>
          <w:kern w:val="0"/>
          <w:sz w:val="32"/>
          <w:szCs w:val="32"/>
          <w14:textFill>
            <w14:solidFill>
              <w14:schemeClr w14:val="tx1"/>
            </w14:solidFill>
          </w14:textFill>
        </w:rPr>
      </w:pPr>
      <w:r>
        <w:rPr>
          <w:rFonts w:hint="default" w:ascii="黑体" w:hAnsi="黑体" w:eastAsia="黑体" w:cs="黑体"/>
          <w:bCs/>
          <w:color w:val="000000" w:themeColor="text1"/>
          <w:kern w:val="0"/>
          <w:sz w:val="32"/>
          <w:szCs w:val="32"/>
          <w14:textFill>
            <w14:solidFill>
              <w14:schemeClr w14:val="tx1"/>
            </w14:solidFill>
          </w14:textFill>
        </w:rPr>
        <w:t>十、</w:t>
      </w:r>
      <w:r>
        <w:rPr>
          <w:rFonts w:hint="default" w:ascii="黑体" w:hAnsi="黑体" w:eastAsia="黑体" w:cs="黑体"/>
          <w:bCs/>
          <w:color w:val="000000" w:themeColor="text1"/>
          <w:kern w:val="0"/>
          <w:sz w:val="32"/>
          <w:szCs w:val="32"/>
          <w:lang w:val="en-US" w:eastAsia="zh-CN"/>
          <w14:textFill>
            <w14:solidFill>
              <w14:schemeClr w14:val="tx1"/>
            </w14:solidFill>
          </w14:textFill>
        </w:rPr>
        <w:t>植保药物噁草酮绿色创制及产业化项目</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植保药物噁草酮的经济性、安全性和低碳性工业化开发和生产。</w:t>
      </w:r>
      <w:r>
        <w:rPr>
          <w:rFonts w:hint="eastAsia"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需</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重点突破的技术难点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设计新合成路线，从基础原料出发仅通过4-6步合成原药，并且绕开硝化，氢化，重氮化，氯化亚锡还原，高压强酸（四氯化锡）氢化等高危工艺；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每一步反应均不能涉及强酸、强碱、强氧化性等高腐蚀性和高危险性物料；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工艺条件温和、能耗低、最大量减少碳的排放；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经济性要高，避免使用昂贵且不能回收的试剂和催化剂；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使用商业可得或者具有自主知识产权的催化剂，不能受国外厂家的制约；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整体合成路线和工艺要达到工业化生产的要求。</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成果形式：</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探索开发一种优于现有的噁草酮的技术研究路径和技术实施方案，达到工业生产放大的水平，获得噁草酮生产的新技术新工艺；申请发明专利（WO专利）3项，实用新型6-8项；发表SCI专业论文5-6篇；制定企业标准项4项。</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技术指标：</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1</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工艺路线能耗降低40%，三废降低50%；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2</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工艺路线官能团转化（化学反应）减少3至6个；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3</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新工艺产品含量达到97%以上（噁草酮原药GB/T 22173-2021要求95%）。</w:t>
      </w:r>
    </w:p>
    <w:p>
      <w:pPr>
        <w:keepNext w:val="0"/>
        <w:keepLines w:val="0"/>
        <w:widowControl/>
        <w:suppressLineNumbers w:val="0"/>
        <w:ind w:firstLine="640" w:firstLineChars="200"/>
        <w:jc w:val="left"/>
        <w:rPr>
          <w:rFonts w:hint="default" w:ascii="黑体" w:hAnsi="黑体" w:eastAsia="黑体" w:cs="黑体"/>
          <w:bCs/>
          <w:color w:val="000000" w:themeColor="text1"/>
          <w:kern w:val="0"/>
          <w:sz w:val="32"/>
          <w:szCs w:val="32"/>
          <w14:textFill>
            <w14:solidFill>
              <w14:schemeClr w14:val="tx1"/>
            </w14:solidFill>
          </w14:textFill>
        </w:rPr>
      </w:pPr>
      <w:r>
        <w:rPr>
          <w:rFonts w:hint="default" w:ascii="黑体" w:hAnsi="黑体" w:eastAsia="黑体" w:cs="黑体"/>
          <w:bCs/>
          <w:color w:val="000000" w:themeColor="text1"/>
          <w:kern w:val="0"/>
          <w:sz w:val="32"/>
          <w:szCs w:val="32"/>
          <w14:textFill>
            <w14:solidFill>
              <w14:schemeClr w14:val="tx1"/>
            </w14:solidFill>
          </w14:textFill>
        </w:rPr>
        <w:t>十一、</w:t>
      </w:r>
      <w:r>
        <w:rPr>
          <w:rFonts w:hint="default" w:ascii="黑体" w:hAnsi="黑体" w:eastAsia="黑体" w:cs="黑体"/>
          <w:bCs/>
          <w:color w:val="000000" w:themeColor="text1"/>
          <w:kern w:val="0"/>
          <w:sz w:val="32"/>
          <w:szCs w:val="32"/>
          <w:lang w:val="en-US" w:eastAsia="zh-CN"/>
          <w14:textFill>
            <w14:solidFill>
              <w14:schemeClr w14:val="tx1"/>
            </w14:solidFill>
          </w14:textFill>
        </w:rPr>
        <w:t>玉米耐密抗锈病种质创新技术与新品种选</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综合利用基因编辑、EMS诱变、双单倍体育种等现代生物技术，精准定位、高效聚合耐密、抗南方锈病有利基因，打破基因连锁，实现玉米育种技术的重大创新，精准高效创制优良种质资源，培育耐密、抗南方锈病突破性新品种，突破我省及黄淮海区域玉米产量和品质大幅提升的“卡脖子”技术，促进农民增产增收，保障国家粮食安全。需重点突破的技术难题：</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1.玉米耐密抗锈病种质高效创制技术；</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2.玉米耐密抗锈病优良自交系选育与精准鉴选技术；</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3.选育耐密抗锈病突破性玉米新品种；</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4.玉米耐密抗锈病新品种适配生产技术集成与示范推广。</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成果形式：</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技术成果：快速精准定位耐密、抗南方锈病基因位点，打破玉米耐密、抗南方锈病基因连锁，实现有利基因精准高效聚合，实现玉米育种技术的重大创新与突破。通过精准定位耐密抗锈病基因，结合基因编辑技术和双单倍体育种，打破玉米耐密、抗南方锈病基因连锁，实现有利基因精准高效聚合，逆境穿梭选择，表型精准鉴定，建立精准高效育种技术体系缩短育种周期，将自交系创制鉴选周期由6-7代缩短至1-2代。</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产品成果：培育出适宜安徽及黄淮海区域的耐密性、抗南方锈病的突破性玉米新品种1-2个，对标国内推广面积最大的先玉335（美国先锋公司）：耐密性提高10%以上，产量提高10%以上，南方锈病抗性由高感提高至高抗；同时大面积生产产量较安徽目前平均单产增加20%以上。</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技术指标:</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1.建立玉米种质高效创制技术1-2项，绿色高效生产技术模式1项；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2.发掘调控耐密、抗锈病的主效基因和遗传位点10-15个；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3.创建20-30份抗锈病能力强，适宜密植的玉米新种质，鉴定优良玉米新组合15-20个，筛选高配合力自交系2-3个；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4.选育目标性状优良的玉米新品种3-5个。其中，国审1-2个；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5.申报专利2-3项，发表论文3-5篇；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6.新品种累计示范推广300万亩，亩增产50公斤，实现粮食增产1.5亿公斤，农民增收3.75亿元以上。</w:t>
      </w:r>
    </w:p>
    <w:p>
      <w:pPr>
        <w:keepNext w:val="0"/>
        <w:keepLines w:val="0"/>
        <w:widowControl/>
        <w:suppressLineNumbers w:val="0"/>
        <w:ind w:firstLine="640" w:firstLineChars="200"/>
        <w:jc w:val="left"/>
        <w:rPr>
          <w:rFonts w:hint="default" w:ascii="黑体" w:hAnsi="黑体" w:eastAsia="黑体" w:cs="黑体"/>
          <w:bCs/>
          <w:color w:val="000000" w:themeColor="text1"/>
          <w:kern w:val="0"/>
          <w:sz w:val="32"/>
          <w:szCs w:val="32"/>
          <w14:textFill>
            <w14:solidFill>
              <w14:schemeClr w14:val="tx1"/>
            </w14:solidFill>
          </w14:textFill>
        </w:rPr>
      </w:pPr>
      <w:r>
        <w:rPr>
          <w:rFonts w:hint="default" w:ascii="黑体" w:hAnsi="黑体" w:eastAsia="黑体" w:cs="黑体"/>
          <w:bCs/>
          <w:color w:val="000000" w:themeColor="text1"/>
          <w:kern w:val="0"/>
          <w:sz w:val="32"/>
          <w:szCs w:val="32"/>
          <w14:textFill>
            <w14:solidFill>
              <w14:schemeClr w14:val="tx1"/>
            </w14:solidFill>
          </w14:textFill>
        </w:rPr>
        <w:t>十二、</w:t>
      </w:r>
      <w:r>
        <w:rPr>
          <w:rFonts w:hint="default" w:ascii="黑体" w:hAnsi="黑体" w:eastAsia="黑体" w:cs="黑体"/>
          <w:bCs/>
          <w:color w:val="000000" w:themeColor="text1"/>
          <w:kern w:val="0"/>
          <w:sz w:val="32"/>
          <w:szCs w:val="32"/>
          <w:lang w:val="en-US" w:eastAsia="zh-CN"/>
          <w14:textFill>
            <w14:solidFill>
              <w14:schemeClr w14:val="tx1"/>
            </w14:solidFill>
          </w14:textFill>
        </w:rPr>
        <w:t>大豆“智能不育系”构建与分子育种产业化应用</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大豆“智控不育系”构建与分子育种产业化应用，需重点突破的技术难点：</w:t>
      </w:r>
    </w:p>
    <w:p>
      <w:pPr>
        <w:keepNext w:val="0"/>
        <w:keepLines w:val="0"/>
        <w:pageBreakBefore w:val="0"/>
        <w:widowControl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1.创制高效“智控不育系”，实现细胞核杂交大豆“三系”配套； </w:t>
      </w:r>
    </w:p>
    <w:p>
      <w:pPr>
        <w:keepNext w:val="0"/>
        <w:keepLines w:val="0"/>
        <w:pageBreakBefore w:val="0"/>
        <w:widowControl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2.筛选强优势杂交组合，实现大豆优质、高产协同提升； </w:t>
      </w:r>
    </w:p>
    <w:p>
      <w:pPr>
        <w:keepNext w:val="0"/>
        <w:keepLines w:val="0"/>
        <w:pageBreakBefore w:val="0"/>
        <w:widowControl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3.建立智能育种技术体系，培育突破性大豆新品种； </w:t>
      </w:r>
    </w:p>
    <w:p>
      <w:pPr>
        <w:keepNext w:val="0"/>
        <w:keepLines w:val="0"/>
        <w:pageBreakBefore w:val="0"/>
        <w:widowControl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600" w:lineRule="exact"/>
        <w:ind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4.建成智慧化种子生产基地，实现大豆分子育种技术产业化。</w:t>
      </w:r>
    </w:p>
    <w:p>
      <w:pPr>
        <w:spacing w:line="560" w:lineRule="exact"/>
        <w:ind w:firstLine="640" w:firstLineChars="200"/>
        <w:rPr>
          <w:rFonts w:hint="default" w:ascii="Times New Roman" w:hAnsi="Times New Roman" w:eastAsia="方正仿宋_GBK" w:cs="Times New Roman"/>
          <w:b/>
          <w:bCs/>
          <w:color w:val="000000" w:themeColor="text1"/>
          <w:kern w:val="0"/>
          <w:sz w:val="32"/>
          <w:szCs w:val="32"/>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lang w:eastAsia="zh-CN"/>
          <w14:textFill>
            <w14:solidFill>
              <w14:schemeClr w14:val="tx1"/>
            </w14:solidFill>
          </w14:textFill>
        </w:rPr>
        <w:t>成果形式：</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1.构建可以用于大豆细胞核雄性不育杂交制种的多控智能不育系1-2个。</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2.构建生产上大面积应用品种为背景的高产优质协同提高的强优势杂交组合1-2个，新品种比生产上大面积应用品种单产提高15%以上。</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3.利用智能不育系选配强优势杂交组合20-30个；培育产量性状有突破性的大豆分子育种新品种（系）1-2个。</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4.建成1个智能化杂交大豆制种和种子生产基地，打造现代化分子设计育种平台，确保大豆杂交制种和分子育种技术全链条产业化。</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技术指标：</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1.创制雄性不育系的周期&lt;2 个大豆生育期；</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2.“智控不育系”遗传背景依赖性&lt;80%，异交种获得率大幅高于大豆天然异交率水平。</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3.选育的新品种能较好适应安徽淮河以北气候条件。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4.新种质在产量构成要素和品质指标方面的配合力方面达到国内领先水平。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5.“分子设计育种平台”能够有效发挥大豆功能基因组与分子聚合育种的双重作用，系统提升大豆分子育种新产品研发水平，育种新基因、新技术的利用效率提升30%以上。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智控不育系</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育种体系制种安全系数高，无生物安全风险，制种产量提升20%以上。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7.制种生产基地整体实现水肥一体化管网全覆盖，日常操作机械化率 100%，管理自动化程度60%以上。</w:t>
      </w:r>
    </w:p>
    <w:p>
      <w:pPr>
        <w:keepNext w:val="0"/>
        <w:keepLines w:val="0"/>
        <w:widowControl/>
        <w:suppressLineNumbers w:val="0"/>
        <w:ind w:firstLine="640" w:firstLineChars="200"/>
        <w:jc w:val="left"/>
        <w:rPr>
          <w:rFonts w:hint="default" w:ascii="黑体" w:hAnsi="黑体" w:eastAsia="黑体" w:cs="黑体"/>
          <w:bCs/>
          <w:color w:val="000000" w:themeColor="text1"/>
          <w:kern w:val="0"/>
          <w:sz w:val="32"/>
          <w:szCs w:val="32"/>
          <w:lang w:val="en-US"/>
          <w14:textFill>
            <w14:solidFill>
              <w14:schemeClr w14:val="tx1"/>
            </w14:solidFill>
          </w14:textFill>
        </w:rPr>
      </w:pPr>
      <w:r>
        <w:rPr>
          <w:rFonts w:hint="default" w:ascii="黑体" w:hAnsi="黑体" w:eastAsia="黑体" w:cs="黑体"/>
          <w:bCs/>
          <w:color w:val="000000" w:themeColor="text1"/>
          <w:kern w:val="0"/>
          <w:sz w:val="32"/>
          <w:szCs w:val="32"/>
          <w14:textFill>
            <w14:solidFill>
              <w14:schemeClr w14:val="tx1"/>
            </w14:solidFill>
          </w14:textFill>
        </w:rPr>
        <w:t>十三、</w:t>
      </w:r>
      <w:r>
        <w:rPr>
          <w:rFonts w:hint="default" w:ascii="黑体" w:hAnsi="黑体" w:eastAsia="黑体" w:cs="黑体"/>
          <w:bCs/>
          <w:color w:val="000000" w:themeColor="text1"/>
          <w:kern w:val="0"/>
          <w:sz w:val="32"/>
          <w:szCs w:val="32"/>
          <w:lang w:val="en-US" w:eastAsia="zh-CN"/>
          <w14:textFill>
            <w14:solidFill>
              <w14:schemeClr w14:val="tx1"/>
            </w14:solidFill>
          </w14:textFill>
        </w:rPr>
        <w:t>废旧磷酸铁锂电池全元素综合利用技术与示范</w:t>
      </w:r>
      <w:r>
        <w:rPr>
          <w:rFonts w:hint="eastAsia" w:ascii="黑体" w:hAnsi="黑体" w:eastAsia="黑体" w:cs="黑体"/>
          <w:bCs/>
          <w:color w:val="000000" w:themeColor="text1"/>
          <w:kern w:val="0"/>
          <w:sz w:val="32"/>
          <w:szCs w:val="32"/>
          <w:lang w:val="en-US" w:eastAsia="zh-CN"/>
          <w14:textFill>
            <w14:solidFill>
              <w14:schemeClr w14:val="tx1"/>
            </w14:solidFill>
          </w14:textFill>
        </w:rPr>
        <w:t xml:space="preserve"> </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研发一套完整的磷酸铁锂电池全元素回收工艺与示范生产线，满足国家对固废无害化处理及资源化相关政策要求。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需重点突破的技术难点：</w:t>
      </w:r>
    </w:p>
    <w:p>
      <w:pPr>
        <w:keepNext w:val="0"/>
        <w:keepLines w:val="0"/>
        <w:pageBreakBefore w:val="0"/>
        <w:widowControl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1.废旧磷酸铁锂电池无害化破碎处理研究，包括拆解、梯级利用筛选、新型热解技术、高效分离封装材料和正负极混合材料。正负极材料分离率要求达到96%，其他元素高于95%。热解实现二恶英低排放且尾部废气净化设施满足国家环保标准。 </w:t>
      </w:r>
    </w:p>
    <w:p>
      <w:pPr>
        <w:keepNext w:val="0"/>
        <w:keepLines w:val="0"/>
        <w:pageBreakBefore w:val="0"/>
        <w:widowControl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2.优选针对磷酸铁锂电池正负极混合材料优先选择性提锂的化学试剂，在控制杂离子钠、钾的引入量的条件下，保证锂的回收率达到90%以上，明显优于目前行业实际水平，并具有经济实用性。</w:t>
      </w:r>
    </w:p>
    <w:p>
      <w:pPr>
        <w:keepNext w:val="0"/>
        <w:keepLines w:val="0"/>
        <w:pageBreakBefore w:val="0"/>
        <w:widowControl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3.针对液相中的锂，设计环境友好的工艺以及专用结晶器，在不增加环保压力的条件下，制备高值化锂产品。</w:t>
      </w:r>
    </w:p>
    <w:p>
      <w:pPr>
        <w:keepNext w:val="0"/>
        <w:keepLines w:val="0"/>
        <w:pageBreakBefore w:val="0"/>
        <w:widowControl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4.设计的磷酸铁与石墨材料绿色分离技术与工艺。对提锂后的磷酸铁与碳材料，设计绿色分离工艺，得到有经济性的铁、碳产品。</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成果形式：</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1.研发出废旧磷酸铁锂动力电池回收处理技术，实现磷酸铁锂动力电池资源化，锂分离回收效率达到90%以上。实现工业级别废旧磷酸铁锂动力电池资源化再利用，电池全元素回收效率达到或优于行业标准，形成废旧磷酸铁锂电池全元素综合利用工艺包。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2.建立废旧磷酸铁锂动力电池资源化高效回收、年处理量 5000吨示范线1条。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3.发明专利5项、实用新型专利5项；制定企业标准3项，编制行业标准1项；发表高水平学术论文8篇。</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产品技术指标：</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1.建立废旧磷酸铁锂电池全元素回收处理工艺技术解决方案1套。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2.分别设计锂、铁、磷、碳回收工艺，锂分离回收率达到90%以上，铁、磷、碳回收率高于95%。如果无法制备钠、钾高值产品，分离工艺中控制钠、钾元素的加入量低于现有工艺水平。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3.磷酸铁锂动力电池封装材料和正负极混合材料无害化拆解分离处理。铜粉、铝粉纯度≥90%，隔膜纯度≥98%，正负极混合材料回收率≥96%，正负极混合材料纯度≥97%，热解炉二恶英排放量减少80%，且满足粉尘、废气国家排放标准。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4.阐明磷酸体系中铁、锂选择性溶解原则，建立分子尺度的选择性提锂机理；建立针对磷酸铁锂动力电池正负极混合材料优先选择性提锂的示范流程，锂浸出率不低于 95%，金属锂的浓度不低于30g/L。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5.阐明锂沉淀结晶的分子动力学过程，揭示结晶器结构对锂沉淀结晶晶型与纯度的影响关系；设计、制造锂专用沉淀结晶器1台，要求实现结晶、洗涤、过滤一体化，锂结晶收率不低于90%。</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6.设计的磷酸铁与石墨碳材料绿色分离技术与工艺流程1个。对提锂后的磷酸铁与碳材料，设计绿色分离工艺，得到有经济性的铁、碳产品。</w:t>
      </w:r>
    </w:p>
    <w:p>
      <w:pPr>
        <w:keepNext w:val="0"/>
        <w:keepLines w:val="0"/>
        <w:widowControl/>
        <w:suppressLineNumbers w:val="0"/>
        <w:ind w:firstLine="640" w:firstLineChars="200"/>
        <w:jc w:val="left"/>
        <w:rPr>
          <w:rFonts w:hint="default" w:ascii="黑体" w:hAnsi="黑体" w:eastAsia="黑体" w:cs="黑体"/>
          <w:bCs/>
          <w:color w:val="000000" w:themeColor="text1"/>
          <w:kern w:val="0"/>
          <w:sz w:val="32"/>
          <w:szCs w:val="32"/>
          <w:lang w:val="en-US" w:eastAsia="zh-CN"/>
          <w14:textFill>
            <w14:solidFill>
              <w14:schemeClr w14:val="tx1"/>
            </w14:solidFill>
          </w14:textFill>
        </w:rPr>
      </w:pPr>
      <w:r>
        <w:rPr>
          <w:rFonts w:hint="default" w:ascii="黑体" w:hAnsi="黑体" w:eastAsia="黑体" w:cs="黑体"/>
          <w:bCs/>
          <w:color w:val="000000" w:themeColor="text1"/>
          <w:kern w:val="0"/>
          <w:sz w:val="32"/>
          <w:szCs w:val="32"/>
          <w:lang w:val="en-US" w:eastAsia="zh-CN"/>
          <w14:textFill>
            <w14:solidFill>
              <w14:schemeClr w14:val="tx1"/>
            </w14:solidFill>
          </w14:textFill>
        </w:rPr>
        <w:t>十四、基于生物底盘构建的脂类药物绿色高值化制造关键技术研发与产业化</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在现有苦胆、脑干等原料基础上，拓展动物血液、禽类胆汁等动物副产物原料来源，建立脂类药物高质量高效绿色合成技术体系，实现脂类药物绿色高值化制造。同时，突破畜禽屠宰加工副产物功能脂质特色资源高值化利用的技术瓶颈，并系列化开发畜用产品。</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需重点突破的技术难点：</w:t>
      </w:r>
    </w:p>
    <w:p>
      <w:pPr>
        <w:keepNext w:val="0"/>
        <w:keepLines w:val="0"/>
        <w:pageBreakBefore w:val="0"/>
        <w:widowControl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1.构建生物底盘解决共表达多催化酶、辅酶NADP</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再生和底物转运的不适配问题；</w:t>
      </w:r>
    </w:p>
    <w:p>
      <w:pPr>
        <w:keepNext/>
        <w:keepLines/>
        <w:pageBreakBefore w:val="0"/>
        <w:widowControl w:val="0"/>
        <w:numPr>
          <w:ilvl w:val="3"/>
          <w:numId w:val="0"/>
        </w:numPr>
        <w:kinsoku/>
        <w:wordWrap/>
        <w:overflowPunct/>
        <w:topLinePunct w:val="0"/>
        <w:autoSpaceDE/>
        <w:autoSpaceDN/>
        <w:bidi w:val="0"/>
        <w:adjustRightInd/>
        <w:snapToGrid/>
        <w:ind w:left="0" w:leftChars="0" w:firstLine="640" w:firstLineChars="200"/>
        <w:jc w:val="both"/>
        <w:textAlignment w:val="auto"/>
        <w:outlineLvl w:val="3"/>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2.构建生物底盘解决利用相对廉价中间体合成高价值的胆固醇和鹅去氧胆酸脂质药物；</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3.基于构建的生物底盘所形成的合成细胞工厂，开展发酵和分离关键技术的研发。</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成果形式：</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1.生物底盘成果与技术指标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针对脂类药物合成存在的专一突出问题（比如合成酶催化和内源NADPH合成的平衡），开发目标底盘微生物的高效遗传操作系统，整合特定功能元件，构建2-3套具备解决专一突出问题，且基因编辑高效稳定的特殊微生物底盘细胞，并在脂类药物进行产业化转化应用，申请发明专利2项。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2.脂类药物成果形式及产品质量技术指标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脂类药物成果形式是完成胆红素、胆固醇和熊去氧胆酸产品中试，制定3个工艺文件包；申请专利6项，其中发明专利3项。</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产品技术指标：</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1.胆红素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质量指标：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1）含量：≥98%（HPLC）；</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2）重金属：≤10ppm。</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技术指标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1）胆红素水解酶及水解率：猪胆汁水解时间 2-4h，水解率 ≥99%（游离胆红素/结合型胆红素×100%）；</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2）胆红素产品收率：≥0.06%。</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2.胆固醇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质量指标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1）含量：≥95%（HPLC）；</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2）熔点：147-150℃；</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3）炽灼残渣：≤0.1%；</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4）醇溶度：澄清不得产生沉淀或浑浊。</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技术指标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1）胆固醇的转化：底物的浓度 5%-10%，转化时间≤8h，转化率≥99%；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2）胆固醇的纯化：纯化所用试剂为常规试剂；总收率≥90%，质量满足质量指标。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3.熊去氧胆酸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质量指标：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1）含量：≥98.5%（HPLC）；</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2）熔点：200-204℃；</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3）炽灼残渣：≤0.2%；</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4）杂质：猪去氧胆酸不得检出，鹅去氧胆酸≤0.2%，总杂≤1.0%。</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技术指标 </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1）鹅去氧胆酸氧化为7K：底物鹅去氧胆酸的浓度5%-10%，转化时间≤8h，转化率≥99%；</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2）7K还原为熊去氧胆酸：底物7K的浓度5%-10%，转化时间≤8h，转化率≥99%；</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3）熊去氧胆酸的纯化：纯化所用试剂为常规试剂，不用硅试剂；总收率≥90%，质量满足质量指标。</w:t>
      </w:r>
    </w:p>
    <w:p>
      <w:pPr>
        <w:keepNext w:val="0"/>
        <w:keepLines w:val="0"/>
        <w:widowControl/>
        <w:suppressLineNumbers w:val="0"/>
        <w:ind w:firstLine="640" w:firstLineChars="200"/>
        <w:jc w:val="left"/>
        <w:rPr>
          <w:rFonts w:hint="default" w:ascii="黑体" w:hAnsi="黑体" w:eastAsia="黑体" w:cs="黑体"/>
          <w:bCs/>
          <w:color w:val="000000" w:themeColor="text1"/>
          <w:kern w:val="0"/>
          <w:sz w:val="32"/>
          <w:szCs w:val="32"/>
          <w:lang w:val="en-US" w:eastAsia="zh-CN"/>
          <w14:textFill>
            <w14:solidFill>
              <w14:schemeClr w14:val="tx1"/>
            </w14:solidFill>
          </w14:textFill>
        </w:rPr>
      </w:pPr>
      <w:r>
        <w:rPr>
          <w:rFonts w:hint="default" w:ascii="黑体" w:hAnsi="黑体" w:eastAsia="黑体" w:cs="黑体"/>
          <w:bCs/>
          <w:color w:val="000000" w:themeColor="text1"/>
          <w:kern w:val="0"/>
          <w:sz w:val="32"/>
          <w:szCs w:val="32"/>
          <w:lang w:val="en-US" w:eastAsia="zh-CN"/>
          <w14:textFill>
            <w14:solidFill>
              <w14:schemeClr w14:val="tx1"/>
            </w14:solidFill>
          </w14:textFill>
        </w:rPr>
        <w:t>十五、200kW大功率燃料电池电堆及核心零部件等关键技术开发</w:t>
      </w:r>
    </w:p>
    <w:p>
      <w:pPr>
        <w:keepNext w:val="0"/>
        <w:keepLines w:val="0"/>
        <w:pageBreakBefore w:val="0"/>
        <w:widowControl w:val="0"/>
        <w:tabs>
          <w:tab w:val="left" w:pos="2424"/>
          <w:tab w:val="left" w:pos="5537"/>
          <w:tab w:val="left" w:pos="7663"/>
        </w:tabs>
        <w:kinsoku/>
        <w:wordWrap/>
        <w:overflowPunct/>
        <w:topLinePunct w:val="0"/>
        <w:autoSpaceDE w:val="0"/>
        <w:autoSpaceDN w:val="0"/>
        <w:bidi w:val="0"/>
        <w:adjustRightInd w:val="0"/>
        <w:snapToGrid w:val="0"/>
        <w:spacing w:line="600" w:lineRule="exact"/>
        <w:ind w:left="0" w:leftChars="0" w:firstLine="640" w:firstLineChars="2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需求目标：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旨在开发具有高比功率、单堆功率大于200kW燃料电池电堆及关键核心技术，解决核心部件“卡脖子”问题，包括高性能膜电极技术、强化传质流场技术、导电耐腐蚀薄金属双极板技术、电堆组装与一致性技术、环境适应性技术、量产工艺与制造技术。</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成果形式：</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开发出电堆比功率大于5.0kW/L，单堆功率大于200kW的燃料电池电堆产品。申请国家发明专利10项。</w:t>
      </w:r>
    </w:p>
    <w:p>
      <w:pPr>
        <w:keepNext w:val="0"/>
        <w:keepLines w:val="0"/>
        <w:pageBreakBefore w:val="0"/>
        <w:kinsoku/>
        <w:wordWrap/>
        <w:overflowPunct/>
        <w:topLinePunct w:val="0"/>
        <w:bidi w:val="0"/>
        <w:snapToGrid w:val="0"/>
        <w:spacing w:line="600" w:lineRule="exact"/>
        <w:ind w:left="0" w:leftChars="0" w:firstLine="640" w:firstLineChars="200"/>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产品技术指标：</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1.燃料电池电堆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1）电堆产品主要技术指标：</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电堆额定功率≥200kW；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功率密度≥5.0kW/L；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环境适应性：低温储存启动温度≤-30℃；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耐久性≥10000h（基于国家标准加速评价方法）；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2）开展产业化制造关键工艺技术研发，并实现以下技术指标：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通过生产线组装200kW电堆，装配对齐公差±0.1mm，进行一致性验证，电压方差≤10mV；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装配单堆200kW级燃料电池系统，进行整车、船舶或电站验证；</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2.膜电极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1）膜电极产品主要技术指标：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膜电极Pt用量≤0.25g/kW；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功率密度≥1.4W/cm</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无损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反极</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连续运行</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时间≥200min；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耐久性≥20000h（基于国家标准加速评价方法）；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2）基于卷对卷涂布工艺的关键技术研发</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（CCM匹配软碳纸）</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，验证膜电极设计的可制造性和一致性，并实现以下技术指标：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膜电极性能一致性：±10mV@1.5A/cm</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涂布浆料稳定性：≥24h；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催化剂涂层干膜厚度下限：≤2μm；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催化剂涂层干膜厚度上限：≥20μm；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CCM厚度均一性：≤±1μm；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3.金属双极板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1）产品主要技术指标：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双极板厚度≤1mm；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接触电阻≤10mΩ·cm</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腐蚀电流≤1μA/cm</w:t>
      </w:r>
      <w:r>
        <w:rPr>
          <w:rFonts w:hint="default"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设计耐久性≥15000h；开展金属极板表面处理技术或免镀膜材料研究；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2）金属极板产业化制造关键工艺技术研发，验证膜电极设计的可制造性和一致性，并实现以下技术指标： </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完成超精密金属单极板冲压模具开发，成型尺寸精度≤±0.015mm；</w:t>
      </w:r>
    </w:p>
    <w:p>
      <w:pPr>
        <w:keepNext w:val="0"/>
        <w:keepLines w:val="0"/>
        <w:pageBreakBefore w:val="0"/>
        <w:kinsoku/>
        <w:wordWrap/>
        <w:overflowPunct/>
        <w:topLinePunct w:val="0"/>
        <w:bidi w:val="0"/>
        <w:adjustRightInd w:val="0"/>
        <w:snapToGrid w:val="0"/>
        <w:spacing w:line="600" w:lineRule="exact"/>
        <w:ind w:left="0" w:lef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金属双极板平整度≤2mm。</w:t>
      </w:r>
    </w:p>
    <w:p>
      <w:pPr>
        <w:jc w:val="both"/>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C350E"/>
    <w:rsid w:val="01E200E3"/>
    <w:rsid w:val="02D53C58"/>
    <w:rsid w:val="03750200"/>
    <w:rsid w:val="037A5D73"/>
    <w:rsid w:val="03AB6128"/>
    <w:rsid w:val="05F51231"/>
    <w:rsid w:val="08936DD8"/>
    <w:rsid w:val="0A1E527B"/>
    <w:rsid w:val="0DA25E8D"/>
    <w:rsid w:val="0E5155B4"/>
    <w:rsid w:val="0E956BDD"/>
    <w:rsid w:val="0F7B5E68"/>
    <w:rsid w:val="0F945916"/>
    <w:rsid w:val="12C044EA"/>
    <w:rsid w:val="12D10773"/>
    <w:rsid w:val="139413B8"/>
    <w:rsid w:val="13D829B8"/>
    <w:rsid w:val="15764707"/>
    <w:rsid w:val="16A245F9"/>
    <w:rsid w:val="1B211EB7"/>
    <w:rsid w:val="1D50567E"/>
    <w:rsid w:val="1D5C350E"/>
    <w:rsid w:val="1E7F67B9"/>
    <w:rsid w:val="1F0E13C4"/>
    <w:rsid w:val="1F8155A1"/>
    <w:rsid w:val="20B67B28"/>
    <w:rsid w:val="24037C8A"/>
    <w:rsid w:val="280F2DED"/>
    <w:rsid w:val="2A8E0086"/>
    <w:rsid w:val="2B5068E1"/>
    <w:rsid w:val="2B713D6B"/>
    <w:rsid w:val="2DBE19EE"/>
    <w:rsid w:val="31A36EEA"/>
    <w:rsid w:val="33F734AE"/>
    <w:rsid w:val="348F19D1"/>
    <w:rsid w:val="34D35946"/>
    <w:rsid w:val="354157D3"/>
    <w:rsid w:val="397A00DE"/>
    <w:rsid w:val="3C2239EE"/>
    <w:rsid w:val="40A513B4"/>
    <w:rsid w:val="432D6FD7"/>
    <w:rsid w:val="44B063AF"/>
    <w:rsid w:val="47ED5E70"/>
    <w:rsid w:val="48CC68E0"/>
    <w:rsid w:val="4A7A7AD6"/>
    <w:rsid w:val="4B0E279F"/>
    <w:rsid w:val="4E7E35B3"/>
    <w:rsid w:val="4F2F329F"/>
    <w:rsid w:val="504F79A7"/>
    <w:rsid w:val="5239426F"/>
    <w:rsid w:val="5379227D"/>
    <w:rsid w:val="542D3AAC"/>
    <w:rsid w:val="57744B41"/>
    <w:rsid w:val="57CD4DC0"/>
    <w:rsid w:val="5A306BDE"/>
    <w:rsid w:val="5A3D74CA"/>
    <w:rsid w:val="5A9B6F65"/>
    <w:rsid w:val="5C555B25"/>
    <w:rsid w:val="5DD51369"/>
    <w:rsid w:val="5E340A74"/>
    <w:rsid w:val="5F6F060F"/>
    <w:rsid w:val="5FAC3B5C"/>
    <w:rsid w:val="60586DD6"/>
    <w:rsid w:val="62F14F5F"/>
    <w:rsid w:val="6878084F"/>
    <w:rsid w:val="688266ED"/>
    <w:rsid w:val="69C43FE9"/>
    <w:rsid w:val="6D400951"/>
    <w:rsid w:val="6F5D5036"/>
    <w:rsid w:val="71083C24"/>
    <w:rsid w:val="71121B91"/>
    <w:rsid w:val="71194B73"/>
    <w:rsid w:val="722E68E5"/>
    <w:rsid w:val="72921526"/>
    <w:rsid w:val="72D7621A"/>
    <w:rsid w:val="734A081F"/>
    <w:rsid w:val="75594332"/>
    <w:rsid w:val="76AE3BA5"/>
    <w:rsid w:val="7BA5404F"/>
    <w:rsid w:val="7BE62134"/>
    <w:rsid w:val="7ED82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next w:val="1"/>
    <w:qFormat/>
    <w:uiPriority w:val="0"/>
    <w:pPr>
      <w:keepNext/>
      <w:keepLines/>
      <w:widowControl w:val="0"/>
      <w:numPr>
        <w:ilvl w:val="3"/>
        <w:numId w:val="0"/>
      </w:numPr>
      <w:spacing w:line="600" w:lineRule="exact"/>
      <w:ind w:left="0" w:firstLine="640" w:firstLineChars="200"/>
      <w:jc w:val="both"/>
      <w:outlineLvl w:val="3"/>
    </w:pPr>
    <w:rPr>
      <w:rFonts w:ascii="Arial" w:hAnsi="Arial" w:eastAsia="仿宋_GB2312" w:cstheme="minorBidi"/>
      <w:b/>
      <w:bCs/>
      <w:kern w:val="2"/>
      <w:sz w:val="32"/>
      <w:szCs w:val="28"/>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安徽正文"/>
    <w:qFormat/>
    <w:uiPriority w:val="99"/>
    <w:pPr>
      <w:widowControl w:val="0"/>
      <w:ind w:firstLine="200" w:firstLineChars="200"/>
      <w:jc w:val="both"/>
    </w:pPr>
    <w:rPr>
      <w:rFonts w:eastAsia="仿宋_GB2312" w:asciiTheme="minorHAnsi" w:hAnsiTheme="minorHAnsi" w:cstheme="minorBidi"/>
      <w:kern w:val="0"/>
      <w:sz w:val="32"/>
      <w:szCs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2022-05-30T01:19:00Z</dcterms:created>
  <dc:creator>大豆</dc:creator>
  <cp:lastModifiedBy>ygc</cp:lastModifiedBy>
  <cp:lastPrinted>2022-05-30T07:38:00Z</cp:lastPrinted>
  <dcterms:modified xsi:type="dcterms:W3CDTF">2022-05-30T10:49:31Z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