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80F68">
      <w:pPr>
        <w:pStyle w:val="25"/>
        <w:ind w:firstLine="0" w:firstLineChars="0"/>
        <w:rPr>
          <w:rFonts w:hAnsi="宋体" w:cs="宋体"/>
          <w:b/>
          <w:bCs/>
          <w:color w:val="auto"/>
          <w:sz w:val="48"/>
          <w:szCs w:val="48"/>
          <w:highlight w:val="none"/>
        </w:rPr>
      </w:pPr>
      <w:bookmarkStart w:id="0" w:name="OLE_LINK1"/>
      <w:bookmarkStart w:id="1" w:name="OLE_LINK3"/>
      <w:bookmarkStart w:id="2" w:name="OLE_LINK4"/>
      <w:bookmarkStart w:id="3" w:name="OLE_LINK2"/>
    </w:p>
    <w:p w14:paraId="797683E3">
      <w:pPr>
        <w:spacing w:before="162" w:beforeLines="50" w:after="162" w:afterLines="50" w:line="400" w:lineRule="atLeast"/>
        <w:jc w:val="center"/>
        <w:outlineLvl w:val="0"/>
        <w:rPr>
          <w:rFonts w:hint="eastAsia" w:hAnsi="宋体" w:cs="宋体"/>
          <w:b/>
          <w:bCs/>
          <w:color w:val="auto"/>
          <w:sz w:val="48"/>
          <w:szCs w:val="48"/>
          <w:highlight w:val="none"/>
          <w:lang w:eastAsia="zh-CN"/>
        </w:rPr>
      </w:pPr>
      <w:bookmarkStart w:id="4" w:name="_Toc11523"/>
      <w:r>
        <w:rPr>
          <w:rFonts w:hint="eastAsia" w:hAnsi="宋体" w:cs="宋体"/>
          <w:b/>
          <w:bCs/>
          <w:color w:val="auto"/>
          <w:sz w:val="48"/>
          <w:szCs w:val="48"/>
          <w:highlight w:val="none"/>
          <w:lang w:eastAsia="zh-CN"/>
        </w:rPr>
        <w:t>滁州学院2025年人工智能学院行政办公家具采购项目</w:t>
      </w:r>
    </w:p>
    <w:p w14:paraId="42FA1909">
      <w:pPr>
        <w:spacing w:before="162" w:beforeLines="50" w:after="162" w:afterLines="50" w:line="400" w:lineRule="atLeast"/>
        <w:jc w:val="center"/>
        <w:outlineLvl w:val="0"/>
        <w:rPr>
          <w:rFonts w:hint="default" w:ascii="宋体" w:hAnsi="宋体" w:eastAsia="宋体" w:cs="宋体"/>
          <w:b/>
          <w:bCs/>
          <w:color w:val="auto"/>
          <w:sz w:val="44"/>
          <w:highlight w:val="none"/>
          <w:lang w:val="en-US" w:eastAsia="zh-CN"/>
        </w:rPr>
      </w:pPr>
      <w:r>
        <w:rPr>
          <w:rFonts w:hint="eastAsia" w:ascii="宋体" w:hAnsi="宋体" w:cs="宋体"/>
          <w:b/>
          <w:bCs/>
          <w:color w:val="auto"/>
          <w:sz w:val="24"/>
          <w:szCs w:val="16"/>
          <w:highlight w:val="none"/>
        </w:rPr>
        <w:t>项目编号：</w:t>
      </w:r>
      <w:bookmarkEnd w:id="4"/>
      <w:r>
        <w:rPr>
          <w:rFonts w:hint="eastAsia" w:ascii="宋体" w:hAnsi="宋体" w:cs="宋体"/>
          <w:b/>
          <w:bCs/>
          <w:color w:val="auto"/>
          <w:sz w:val="24"/>
          <w:szCs w:val="16"/>
          <w:highlight w:val="none"/>
        </w:rPr>
        <w:t>202</w:t>
      </w:r>
      <w:r>
        <w:rPr>
          <w:rFonts w:hint="eastAsia" w:ascii="宋体" w:hAnsi="宋体" w:cs="宋体"/>
          <w:b/>
          <w:bCs/>
          <w:color w:val="auto"/>
          <w:sz w:val="24"/>
          <w:szCs w:val="16"/>
          <w:highlight w:val="none"/>
          <w:lang w:val="en-US" w:eastAsia="zh-CN"/>
        </w:rPr>
        <w:t>5</w:t>
      </w:r>
      <w:r>
        <w:rPr>
          <w:rFonts w:hint="eastAsia" w:ascii="宋体" w:hAnsi="宋体" w:cs="宋体"/>
          <w:b/>
          <w:bCs/>
          <w:color w:val="auto"/>
          <w:sz w:val="24"/>
          <w:szCs w:val="16"/>
          <w:highlight w:val="none"/>
        </w:rPr>
        <w:t>CG-0</w:t>
      </w:r>
      <w:r>
        <w:rPr>
          <w:rFonts w:hint="eastAsia" w:ascii="宋体" w:hAnsi="宋体" w:cs="宋体"/>
          <w:b/>
          <w:bCs/>
          <w:color w:val="auto"/>
          <w:sz w:val="24"/>
          <w:szCs w:val="16"/>
          <w:highlight w:val="none"/>
          <w:lang w:val="en-US" w:eastAsia="zh-CN"/>
        </w:rPr>
        <w:t>37</w:t>
      </w:r>
    </w:p>
    <w:p w14:paraId="0F9F4D35">
      <w:pPr>
        <w:spacing w:line="400" w:lineRule="atLeast"/>
        <w:rPr>
          <w:rFonts w:ascii="宋体" w:hAnsi="宋体" w:cs="宋体"/>
          <w:b/>
          <w:color w:val="auto"/>
          <w:sz w:val="52"/>
          <w:szCs w:val="52"/>
          <w:highlight w:val="none"/>
        </w:rPr>
      </w:pPr>
    </w:p>
    <w:p w14:paraId="6D61A30C">
      <w:pPr>
        <w:jc w:val="center"/>
        <w:outlineLvl w:val="0"/>
        <w:rPr>
          <w:rFonts w:ascii="宋体" w:hAnsi="宋体"/>
          <w:b/>
          <w:color w:val="auto"/>
          <w:sz w:val="84"/>
          <w:szCs w:val="84"/>
          <w:highlight w:val="none"/>
        </w:rPr>
      </w:pPr>
      <w:bookmarkStart w:id="5" w:name="_Toc3846"/>
      <w:r>
        <w:rPr>
          <w:rFonts w:hint="eastAsia" w:ascii="宋体" w:hAnsi="宋体"/>
          <w:b/>
          <w:color w:val="auto"/>
          <w:sz w:val="84"/>
          <w:szCs w:val="84"/>
          <w:highlight w:val="none"/>
        </w:rPr>
        <w:t>采</w:t>
      </w:r>
      <w:bookmarkEnd w:id="5"/>
    </w:p>
    <w:p w14:paraId="55B8F76C">
      <w:pPr>
        <w:jc w:val="center"/>
        <w:outlineLvl w:val="0"/>
        <w:rPr>
          <w:rFonts w:ascii="宋体" w:hAnsi="宋体"/>
          <w:b/>
          <w:color w:val="auto"/>
          <w:sz w:val="84"/>
          <w:szCs w:val="84"/>
          <w:highlight w:val="none"/>
        </w:rPr>
      </w:pPr>
      <w:bookmarkStart w:id="6" w:name="_Toc19802"/>
      <w:r>
        <w:rPr>
          <w:rFonts w:hint="eastAsia" w:ascii="宋体" w:hAnsi="宋体"/>
          <w:b/>
          <w:color w:val="auto"/>
          <w:sz w:val="84"/>
          <w:szCs w:val="84"/>
          <w:highlight w:val="none"/>
        </w:rPr>
        <w:t>购</w:t>
      </w:r>
      <w:bookmarkEnd w:id="6"/>
    </w:p>
    <w:p w14:paraId="33F8D203">
      <w:pPr>
        <w:jc w:val="center"/>
        <w:outlineLvl w:val="0"/>
        <w:rPr>
          <w:rFonts w:ascii="宋体" w:hAnsi="宋体"/>
          <w:b/>
          <w:color w:val="auto"/>
          <w:sz w:val="84"/>
          <w:szCs w:val="84"/>
          <w:highlight w:val="none"/>
        </w:rPr>
      </w:pPr>
      <w:bookmarkStart w:id="7" w:name="_Toc6456"/>
      <w:r>
        <w:rPr>
          <w:rFonts w:hint="eastAsia" w:ascii="宋体" w:hAnsi="宋体"/>
          <w:b/>
          <w:color w:val="auto"/>
          <w:sz w:val="84"/>
          <w:szCs w:val="84"/>
          <w:highlight w:val="none"/>
        </w:rPr>
        <w:t>文</w:t>
      </w:r>
      <w:bookmarkEnd w:id="7"/>
    </w:p>
    <w:p w14:paraId="6B9D8684">
      <w:pPr>
        <w:jc w:val="center"/>
        <w:outlineLvl w:val="0"/>
        <w:rPr>
          <w:rFonts w:ascii="宋体"/>
          <w:color w:val="auto"/>
          <w:sz w:val="28"/>
          <w:szCs w:val="28"/>
          <w:highlight w:val="none"/>
        </w:rPr>
      </w:pPr>
      <w:bookmarkStart w:id="8" w:name="_Toc17725"/>
      <w:r>
        <w:rPr>
          <w:rFonts w:hint="eastAsia" w:ascii="宋体" w:hAnsi="宋体"/>
          <w:b/>
          <w:color w:val="auto"/>
          <w:sz w:val="84"/>
          <w:szCs w:val="84"/>
          <w:highlight w:val="none"/>
        </w:rPr>
        <w:t>件</w:t>
      </w:r>
      <w:bookmarkEnd w:id="8"/>
    </w:p>
    <w:p w14:paraId="153E7675">
      <w:pPr>
        <w:spacing w:line="480" w:lineRule="exact"/>
        <w:rPr>
          <w:rFonts w:ascii="宋体" w:hAnsi="宋体" w:cs="宋体"/>
          <w:b/>
          <w:bCs/>
          <w:color w:val="auto"/>
          <w:sz w:val="32"/>
          <w:highlight w:val="none"/>
        </w:rPr>
      </w:pPr>
    </w:p>
    <w:p w14:paraId="18532DC3">
      <w:pPr>
        <w:spacing w:line="480" w:lineRule="exact"/>
        <w:ind w:firstLine="472" w:firstLineChars="147"/>
        <w:rPr>
          <w:rFonts w:ascii="宋体" w:hAnsi="宋体" w:cs="宋体"/>
          <w:b/>
          <w:bCs/>
          <w:color w:val="auto"/>
          <w:sz w:val="32"/>
          <w:highlight w:val="none"/>
        </w:rPr>
      </w:pPr>
    </w:p>
    <w:p w14:paraId="4A0F61B7">
      <w:pPr>
        <w:spacing w:line="480" w:lineRule="exact"/>
        <w:ind w:firstLine="472" w:firstLineChars="147"/>
        <w:rPr>
          <w:rFonts w:ascii="宋体" w:hAnsi="宋体" w:cs="宋体"/>
          <w:b/>
          <w:bCs/>
          <w:color w:val="auto"/>
          <w:sz w:val="32"/>
          <w:highlight w:val="none"/>
        </w:rPr>
      </w:pPr>
    </w:p>
    <w:p w14:paraId="4B247515">
      <w:pPr>
        <w:spacing w:line="480" w:lineRule="exact"/>
        <w:ind w:firstLine="472" w:firstLineChars="147"/>
        <w:rPr>
          <w:rFonts w:ascii="宋体" w:hAnsi="宋体" w:cs="宋体"/>
          <w:b/>
          <w:bCs/>
          <w:color w:val="auto"/>
          <w:sz w:val="32"/>
          <w:highlight w:val="none"/>
        </w:rPr>
      </w:pPr>
    </w:p>
    <w:p w14:paraId="50AC8B08">
      <w:pPr>
        <w:spacing w:before="162" w:beforeLines="50" w:after="162" w:afterLines="50" w:line="440" w:lineRule="exact"/>
        <w:jc w:val="center"/>
        <w:rPr>
          <w:rFonts w:ascii="宋体" w:hAnsi="宋体" w:cs="宋体"/>
          <w:b/>
          <w:bCs/>
          <w:color w:val="auto"/>
          <w:sz w:val="28"/>
          <w:szCs w:val="28"/>
          <w:highlight w:val="none"/>
          <w:u w:val="single"/>
        </w:rPr>
      </w:pPr>
      <w:r>
        <w:rPr>
          <w:rFonts w:hint="eastAsia" w:ascii="宋体" w:hAnsi="宋体" w:cs="宋体"/>
          <w:b/>
          <w:bCs/>
          <w:color w:val="auto"/>
          <w:sz w:val="28"/>
          <w:szCs w:val="28"/>
          <w:highlight w:val="none"/>
        </w:rPr>
        <w:t>采购人 ：</w:t>
      </w:r>
      <w:r>
        <w:rPr>
          <w:rFonts w:hint="eastAsia" w:ascii="宋体" w:hAnsi="宋体" w:cs="宋体"/>
          <w:b/>
          <w:bCs/>
          <w:color w:val="auto"/>
          <w:sz w:val="28"/>
          <w:szCs w:val="28"/>
          <w:highlight w:val="none"/>
          <w:u w:val="single"/>
        </w:rPr>
        <w:t xml:space="preserve">      资产与实验室管理处    （盖章）</w:t>
      </w:r>
    </w:p>
    <w:p w14:paraId="065E9B09">
      <w:pPr>
        <w:spacing w:before="162" w:beforeLines="50" w:after="162" w:afterLines="50" w:line="440" w:lineRule="exact"/>
        <w:jc w:val="center"/>
        <w:outlineLvl w:val="0"/>
        <w:rPr>
          <w:rFonts w:ascii="宋体" w:hAnsi="宋体" w:cs="宋体"/>
          <w:b/>
          <w:color w:val="auto"/>
          <w:sz w:val="28"/>
          <w:szCs w:val="28"/>
          <w:highlight w:val="none"/>
          <w:u w:val="single"/>
        </w:rPr>
      </w:pPr>
      <w:bookmarkStart w:id="9" w:name="_Toc26052"/>
      <w:r>
        <w:rPr>
          <w:rFonts w:hint="eastAsia" w:ascii="宋体" w:hAnsi="宋体" w:cs="宋体"/>
          <w:b/>
          <w:bCs/>
          <w:color w:val="auto"/>
          <w:sz w:val="28"/>
          <w:szCs w:val="28"/>
          <w:highlight w:val="none"/>
        </w:rPr>
        <w:t>采购代理机构：</w:t>
      </w:r>
      <w:r>
        <w:rPr>
          <w:rFonts w:hint="eastAsia" w:ascii="宋体" w:hAnsi="宋体" w:cs="宋体"/>
          <w:b/>
          <w:bCs/>
          <w:color w:val="auto"/>
          <w:sz w:val="28"/>
          <w:szCs w:val="28"/>
          <w:highlight w:val="none"/>
          <w:u w:val="single"/>
        </w:rPr>
        <w:t xml:space="preserve">    </w:t>
      </w:r>
      <w:r>
        <w:rPr>
          <w:rFonts w:hint="eastAsia" w:ascii="宋体" w:hAnsi="宋体" w:cs="宋体"/>
          <w:b/>
          <w:color w:val="auto"/>
          <w:sz w:val="28"/>
          <w:szCs w:val="28"/>
          <w:highlight w:val="none"/>
          <w:u w:val="single"/>
        </w:rPr>
        <w:t>安徽立地工程咨询有限公司  （盖章）</w:t>
      </w:r>
      <w:bookmarkEnd w:id="9"/>
    </w:p>
    <w:p w14:paraId="766E55AC">
      <w:pPr>
        <w:spacing w:before="162" w:beforeLines="50" w:after="162" w:afterLines="50" w:line="440" w:lineRule="exact"/>
        <w:jc w:val="center"/>
        <w:rPr>
          <w:rFonts w:ascii="宋体" w:hAnsi="宋体" w:cs="宋体"/>
          <w:b/>
          <w:color w:val="auto"/>
          <w:sz w:val="32"/>
          <w:szCs w:val="32"/>
          <w:highlight w:val="none"/>
          <w:u w:val="single"/>
        </w:rPr>
      </w:pPr>
      <w:r>
        <w:rPr>
          <w:rFonts w:hint="eastAsia" w:ascii="宋体" w:hAnsi="宋体" w:cs="宋体"/>
          <w:b/>
          <w:bCs/>
          <w:color w:val="auto"/>
          <w:sz w:val="28"/>
          <w:szCs w:val="28"/>
          <w:highlight w:val="none"/>
        </w:rPr>
        <w:t>发布日期：</w:t>
      </w:r>
      <w:r>
        <w:rPr>
          <w:rFonts w:hint="eastAsia" w:ascii="宋体" w:hAnsi="宋体" w:cs="宋体"/>
          <w:b/>
          <w:color w:val="auto"/>
          <w:sz w:val="28"/>
          <w:szCs w:val="28"/>
          <w:highlight w:val="none"/>
          <w:u w:val="single"/>
        </w:rPr>
        <w:t>202</w:t>
      </w:r>
      <w:r>
        <w:rPr>
          <w:rFonts w:hint="eastAsia" w:ascii="宋体" w:hAnsi="宋体" w:cs="宋体"/>
          <w:b/>
          <w:color w:val="auto"/>
          <w:sz w:val="28"/>
          <w:szCs w:val="28"/>
          <w:highlight w:val="none"/>
          <w:u w:val="single"/>
          <w:lang w:val="en-US" w:eastAsia="zh-CN"/>
        </w:rPr>
        <w:t>5</w:t>
      </w:r>
      <w:r>
        <w:rPr>
          <w:rFonts w:hint="eastAsia" w:ascii="宋体" w:hAnsi="宋体" w:cs="宋体"/>
          <w:b/>
          <w:color w:val="auto"/>
          <w:sz w:val="28"/>
          <w:szCs w:val="28"/>
          <w:highlight w:val="none"/>
          <w:u w:val="single"/>
        </w:rPr>
        <w:t>年</w:t>
      </w:r>
      <w:r>
        <w:rPr>
          <w:rFonts w:hint="eastAsia" w:ascii="宋体" w:hAnsi="宋体" w:cs="宋体"/>
          <w:b/>
          <w:color w:val="auto"/>
          <w:sz w:val="28"/>
          <w:szCs w:val="28"/>
          <w:highlight w:val="none"/>
          <w:u w:val="single"/>
          <w:lang w:val="en-US" w:eastAsia="zh-CN"/>
        </w:rPr>
        <w:t>6</w:t>
      </w:r>
      <w:r>
        <w:rPr>
          <w:rFonts w:hint="eastAsia" w:ascii="宋体" w:hAnsi="宋体" w:cs="宋体"/>
          <w:b/>
          <w:color w:val="auto"/>
          <w:sz w:val="28"/>
          <w:szCs w:val="28"/>
          <w:highlight w:val="none"/>
          <w:u w:val="single"/>
        </w:rPr>
        <w:t>月</w:t>
      </w:r>
    </w:p>
    <w:p w14:paraId="01D9AA8A">
      <w:pPr>
        <w:adjustRightInd w:val="0"/>
        <w:snapToGrid w:val="0"/>
        <w:spacing w:line="460" w:lineRule="exact"/>
        <w:jc w:val="center"/>
        <w:rPr>
          <w:rFonts w:ascii="宋体" w:hAnsi="宋体" w:cs="宋体"/>
          <w:b/>
          <w:color w:val="auto"/>
          <w:sz w:val="32"/>
          <w:szCs w:val="32"/>
          <w:highlight w:val="none"/>
        </w:rPr>
      </w:pPr>
      <w:bookmarkStart w:id="10" w:name="_Toc23582"/>
    </w:p>
    <w:p w14:paraId="49B5E8FB">
      <w:pPr>
        <w:adjustRightInd w:val="0"/>
        <w:snapToGrid w:val="0"/>
        <w:spacing w:line="460" w:lineRule="exact"/>
        <w:jc w:val="center"/>
        <w:rPr>
          <w:rFonts w:ascii="宋体" w:hAnsi="宋体" w:cs="宋体"/>
          <w:b/>
          <w:color w:val="auto"/>
          <w:sz w:val="32"/>
          <w:szCs w:val="32"/>
          <w:highlight w:val="none"/>
        </w:rPr>
      </w:pPr>
    </w:p>
    <w:p w14:paraId="167017C6">
      <w:pPr>
        <w:adjustRightInd w:val="0"/>
        <w:snapToGrid w:val="0"/>
        <w:spacing w:line="460" w:lineRule="exact"/>
        <w:jc w:val="center"/>
        <w:rPr>
          <w:rFonts w:ascii="宋体" w:hAnsi="宋体" w:cs="宋体"/>
          <w:b/>
          <w:color w:val="auto"/>
          <w:sz w:val="32"/>
          <w:szCs w:val="32"/>
          <w:highlight w:val="none"/>
        </w:rPr>
      </w:pPr>
    </w:p>
    <w:p w14:paraId="4C196AA3">
      <w:pPr>
        <w:adjustRightInd w:val="0"/>
        <w:snapToGrid w:val="0"/>
        <w:spacing w:line="460" w:lineRule="exact"/>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采购文件目录</w:t>
      </w:r>
      <w:bookmarkEnd w:id="10"/>
    </w:p>
    <w:p w14:paraId="061CC5E9">
      <w:pPr>
        <w:pStyle w:val="71"/>
        <w:tabs>
          <w:tab w:val="right" w:leader="dot" w:pos="9072"/>
        </w:tabs>
        <w:rPr>
          <w:color w:val="auto"/>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TOC \o "1-3" \h \u </w:instrText>
      </w:r>
      <w:r>
        <w:rPr>
          <w:rFonts w:hint="eastAsia" w:ascii="宋体" w:hAnsi="宋体" w:cs="宋体"/>
          <w:color w:val="auto"/>
          <w:sz w:val="24"/>
          <w:highlight w:val="none"/>
        </w:rPr>
        <w:fldChar w:fldCharType="separate"/>
      </w:r>
    </w:p>
    <w:p w14:paraId="18E13531">
      <w:pPr>
        <w:pStyle w:val="71"/>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textAlignment w:val="auto"/>
        <w:rPr>
          <w:rFonts w:ascii="宋体" w:hAnsi="宋体" w:cs="宋体"/>
          <w:color w:val="auto"/>
          <w:sz w:val="21"/>
          <w:szCs w:val="21"/>
          <w:highlight w:val="none"/>
        </w:rPr>
      </w:pPr>
      <w:r>
        <w:rPr>
          <w:color w:val="auto"/>
          <w:highlight w:val="none"/>
        </w:rPr>
        <w:fldChar w:fldCharType="begin"/>
      </w:r>
      <w:r>
        <w:rPr>
          <w:color w:val="auto"/>
          <w:highlight w:val="none"/>
        </w:rPr>
        <w:instrText xml:space="preserve"> HYPERLINK \l "_Toc24626" </w:instrText>
      </w:r>
      <w:r>
        <w:rPr>
          <w:color w:val="auto"/>
          <w:highlight w:val="none"/>
        </w:rPr>
        <w:fldChar w:fldCharType="separate"/>
      </w:r>
      <w:r>
        <w:rPr>
          <w:rFonts w:hint="eastAsia" w:ascii="宋体" w:hAnsi="宋体" w:cs="宋体"/>
          <w:color w:val="auto"/>
          <w:sz w:val="21"/>
          <w:szCs w:val="21"/>
          <w:highlight w:val="none"/>
        </w:rPr>
        <w:t>采购招标公告</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_Toc24626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12C25F76">
      <w:pPr>
        <w:pStyle w:val="71"/>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textAlignment w:val="auto"/>
        <w:rPr>
          <w:rFonts w:ascii="宋体" w:hAnsi="宋体" w:cs="宋体"/>
          <w:color w:val="auto"/>
          <w:sz w:val="21"/>
          <w:szCs w:val="21"/>
          <w:highlight w:val="none"/>
        </w:rPr>
      </w:pPr>
      <w:r>
        <w:rPr>
          <w:color w:val="auto"/>
          <w:highlight w:val="none"/>
        </w:rPr>
        <w:fldChar w:fldCharType="begin"/>
      </w:r>
      <w:r>
        <w:rPr>
          <w:color w:val="auto"/>
          <w:highlight w:val="none"/>
        </w:rPr>
        <w:instrText xml:space="preserve"> HYPERLINK \l "_Toc29256" </w:instrText>
      </w:r>
      <w:r>
        <w:rPr>
          <w:color w:val="auto"/>
          <w:highlight w:val="none"/>
        </w:rPr>
        <w:fldChar w:fldCharType="separate"/>
      </w:r>
      <w:r>
        <w:rPr>
          <w:rFonts w:hint="eastAsia" w:ascii="宋体" w:hAnsi="宋体" w:cs="宋体"/>
          <w:color w:val="auto"/>
          <w:sz w:val="21"/>
          <w:szCs w:val="21"/>
          <w:highlight w:val="none"/>
        </w:rPr>
        <w:t>A、投标须知前附表</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_Toc29256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45D4F05B">
      <w:pPr>
        <w:pStyle w:val="71"/>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textAlignment w:val="auto"/>
        <w:rPr>
          <w:rFonts w:ascii="宋体" w:hAnsi="宋体" w:cs="宋体"/>
          <w:color w:val="auto"/>
          <w:sz w:val="21"/>
          <w:szCs w:val="21"/>
          <w:highlight w:val="none"/>
        </w:rPr>
      </w:pPr>
      <w:r>
        <w:rPr>
          <w:color w:val="auto"/>
          <w:highlight w:val="none"/>
        </w:rPr>
        <w:fldChar w:fldCharType="begin"/>
      </w:r>
      <w:r>
        <w:rPr>
          <w:color w:val="auto"/>
          <w:highlight w:val="none"/>
        </w:rPr>
        <w:instrText xml:space="preserve"> HYPERLINK \l "_Toc16641" </w:instrText>
      </w:r>
      <w:r>
        <w:rPr>
          <w:color w:val="auto"/>
          <w:highlight w:val="none"/>
        </w:rPr>
        <w:fldChar w:fldCharType="separate"/>
      </w:r>
      <w:r>
        <w:rPr>
          <w:rFonts w:hint="eastAsia" w:ascii="宋体" w:hAnsi="宋体" w:cs="宋体"/>
          <w:color w:val="auto"/>
          <w:sz w:val="21"/>
          <w:szCs w:val="21"/>
          <w:highlight w:val="none"/>
        </w:rPr>
        <w:t>第一章  投标须知</w:t>
      </w:r>
      <w:r>
        <w:rPr>
          <w:rFonts w:hint="eastAsia" w:ascii="宋体" w:hAnsi="宋体" w:cs="宋体"/>
          <w:color w:val="auto"/>
          <w:sz w:val="21"/>
          <w:szCs w:val="21"/>
          <w:highlight w:val="none"/>
        </w:rPr>
        <w:tab/>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fldChar w:fldCharType="end"/>
      </w:r>
    </w:p>
    <w:p w14:paraId="1515BFA2">
      <w:pPr>
        <w:pStyle w:val="72"/>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leftChars="0"/>
        <w:textAlignment w:val="auto"/>
        <w:rPr>
          <w:rFonts w:ascii="宋体" w:hAnsi="宋体" w:cs="宋体"/>
          <w:color w:val="auto"/>
          <w:sz w:val="21"/>
          <w:szCs w:val="21"/>
          <w:highlight w:val="none"/>
        </w:rPr>
      </w:pPr>
      <w:r>
        <w:rPr>
          <w:color w:val="auto"/>
          <w:highlight w:val="none"/>
        </w:rPr>
        <w:fldChar w:fldCharType="begin"/>
      </w:r>
      <w:r>
        <w:rPr>
          <w:color w:val="auto"/>
          <w:highlight w:val="none"/>
        </w:rPr>
        <w:instrText xml:space="preserve"> HYPERLINK \l "_Toc16681" </w:instrText>
      </w:r>
      <w:r>
        <w:rPr>
          <w:color w:val="auto"/>
          <w:highlight w:val="none"/>
        </w:rPr>
        <w:fldChar w:fldCharType="separate"/>
      </w:r>
      <w:r>
        <w:rPr>
          <w:rFonts w:hint="eastAsia" w:ascii="宋体" w:hAnsi="宋体" w:cs="宋体"/>
          <w:bCs/>
          <w:color w:val="auto"/>
          <w:sz w:val="21"/>
          <w:szCs w:val="21"/>
          <w:highlight w:val="none"/>
        </w:rPr>
        <w:t>第二章  评标办法</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_Toc16681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12</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7E6564E4">
      <w:pPr>
        <w:pStyle w:val="72"/>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leftChars="0"/>
        <w:textAlignment w:val="auto"/>
        <w:rPr>
          <w:rFonts w:ascii="宋体" w:hAnsi="宋体" w:cs="宋体"/>
          <w:color w:val="auto"/>
          <w:sz w:val="21"/>
          <w:szCs w:val="21"/>
          <w:highlight w:val="none"/>
        </w:rPr>
      </w:pPr>
      <w:r>
        <w:rPr>
          <w:color w:val="auto"/>
          <w:highlight w:val="none"/>
        </w:rPr>
        <w:fldChar w:fldCharType="begin"/>
      </w:r>
      <w:r>
        <w:rPr>
          <w:color w:val="auto"/>
          <w:highlight w:val="none"/>
        </w:rPr>
        <w:instrText xml:space="preserve"> HYPERLINK \l "_Toc27595" </w:instrText>
      </w:r>
      <w:r>
        <w:rPr>
          <w:color w:val="auto"/>
          <w:highlight w:val="none"/>
        </w:rPr>
        <w:fldChar w:fldCharType="separate"/>
      </w:r>
      <w:r>
        <w:rPr>
          <w:rFonts w:hint="eastAsia" w:ascii="宋体" w:hAnsi="宋体" w:cs="宋体"/>
          <w:color w:val="auto"/>
          <w:sz w:val="21"/>
          <w:szCs w:val="21"/>
          <w:highlight w:val="none"/>
        </w:rPr>
        <w:t>第三章  采购服务需求</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_Toc27595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18</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12DC8421">
      <w:pPr>
        <w:pStyle w:val="72"/>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leftChars="0"/>
        <w:textAlignment w:val="auto"/>
        <w:rPr>
          <w:rFonts w:hint="eastAsia" w:ascii="宋体" w:hAnsi="宋体" w:eastAsia="宋体" w:cs="宋体"/>
          <w:color w:val="auto"/>
          <w:sz w:val="21"/>
          <w:szCs w:val="21"/>
          <w:highlight w:val="none"/>
          <w:lang w:val="en-US" w:eastAsia="zh-CN"/>
        </w:rPr>
      </w:pPr>
      <w:r>
        <w:rPr>
          <w:color w:val="auto"/>
          <w:highlight w:val="none"/>
        </w:rPr>
        <w:fldChar w:fldCharType="begin"/>
      </w:r>
      <w:r>
        <w:rPr>
          <w:color w:val="auto"/>
          <w:highlight w:val="none"/>
        </w:rPr>
        <w:instrText xml:space="preserve"> HYPERLINK \l "_Toc30219" </w:instrText>
      </w:r>
      <w:r>
        <w:rPr>
          <w:color w:val="auto"/>
          <w:highlight w:val="none"/>
        </w:rPr>
        <w:fldChar w:fldCharType="separate"/>
      </w:r>
      <w:r>
        <w:rPr>
          <w:rFonts w:hint="eastAsia" w:ascii="宋体" w:hAnsi="宋体" w:cs="宋体"/>
          <w:bCs/>
          <w:color w:val="auto"/>
          <w:sz w:val="21"/>
          <w:szCs w:val="21"/>
          <w:highlight w:val="none"/>
        </w:rPr>
        <w:t>第四章  合同条款及格式</w:t>
      </w:r>
      <w:r>
        <w:rPr>
          <w:rFonts w:hint="eastAsia" w:ascii="宋体" w:hAnsi="宋体" w:cs="宋体"/>
          <w:color w:val="auto"/>
          <w:sz w:val="21"/>
          <w:szCs w:val="21"/>
          <w:highlight w:val="none"/>
        </w:rPr>
        <w:tab/>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lang w:val="en-US" w:eastAsia="zh-CN"/>
        </w:rPr>
        <w:t>8</w:t>
      </w:r>
    </w:p>
    <w:p w14:paraId="30C59EDC">
      <w:pPr>
        <w:pStyle w:val="72"/>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leftChars="0"/>
        <w:textAlignment w:val="auto"/>
        <w:rPr>
          <w:rFonts w:hint="eastAsia" w:ascii="宋体" w:hAnsi="宋体" w:eastAsia="宋体" w:cs="宋体"/>
          <w:color w:val="auto"/>
          <w:sz w:val="21"/>
          <w:szCs w:val="21"/>
          <w:highlight w:val="none"/>
          <w:lang w:val="en-US" w:eastAsia="zh-CN"/>
        </w:rPr>
      </w:pPr>
      <w:r>
        <w:rPr>
          <w:color w:val="auto"/>
          <w:highlight w:val="none"/>
        </w:rPr>
        <w:fldChar w:fldCharType="begin"/>
      </w:r>
      <w:r>
        <w:rPr>
          <w:color w:val="auto"/>
          <w:highlight w:val="none"/>
        </w:rPr>
        <w:instrText xml:space="preserve"> HYPERLINK \l "_Toc13799" </w:instrText>
      </w:r>
      <w:r>
        <w:rPr>
          <w:color w:val="auto"/>
          <w:highlight w:val="none"/>
        </w:rPr>
        <w:fldChar w:fldCharType="separate"/>
      </w:r>
      <w:r>
        <w:rPr>
          <w:rFonts w:hint="eastAsia" w:ascii="宋体" w:hAnsi="宋体" w:cs="宋体"/>
          <w:color w:val="auto"/>
          <w:sz w:val="21"/>
          <w:szCs w:val="21"/>
          <w:highlight w:val="none"/>
        </w:rPr>
        <w:t>第五章  投标文件标格式</w:t>
      </w:r>
      <w:r>
        <w:rPr>
          <w:rFonts w:hint="eastAsia" w:ascii="宋体" w:hAnsi="宋体" w:cs="宋体"/>
          <w:color w:val="auto"/>
          <w:sz w:val="21"/>
          <w:szCs w:val="21"/>
          <w:highlight w:val="none"/>
        </w:rPr>
        <w:tab/>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lang w:val="en-US" w:eastAsia="zh-CN"/>
        </w:rPr>
        <w:t>5</w:t>
      </w:r>
    </w:p>
    <w:p w14:paraId="286C3298">
      <w:pPr>
        <w:pStyle w:val="72"/>
        <w:keepNext w:val="0"/>
        <w:keepLines w:val="0"/>
        <w:pageBreakBefore w:val="0"/>
        <w:widowControl/>
        <w:tabs>
          <w:tab w:val="right" w:leader="dot" w:pos="9072"/>
        </w:tabs>
        <w:kinsoku/>
        <w:wordWrap/>
        <w:overflowPunct/>
        <w:topLinePunct w:val="0"/>
        <w:autoSpaceDE/>
        <w:autoSpaceDN/>
        <w:bidi w:val="0"/>
        <w:adjustRightInd/>
        <w:snapToGrid/>
        <w:spacing w:line="440" w:lineRule="exact"/>
        <w:ind w:left="0" w:leftChars="0"/>
        <w:textAlignment w:val="auto"/>
        <w:rPr>
          <w:rFonts w:hint="eastAsia" w:ascii="宋体" w:hAnsi="宋体" w:eastAsia="宋体" w:cs="宋体"/>
          <w:color w:val="auto"/>
          <w:sz w:val="21"/>
          <w:szCs w:val="21"/>
          <w:highlight w:val="none"/>
          <w:lang w:val="en-US" w:eastAsia="zh-CN"/>
        </w:rPr>
      </w:pPr>
      <w:r>
        <w:rPr>
          <w:color w:val="auto"/>
          <w:highlight w:val="none"/>
        </w:rPr>
        <w:fldChar w:fldCharType="begin"/>
      </w:r>
      <w:r>
        <w:rPr>
          <w:color w:val="auto"/>
          <w:highlight w:val="none"/>
        </w:rPr>
        <w:instrText xml:space="preserve"> HYPERLINK \l "_Toc15676" </w:instrText>
      </w:r>
      <w:r>
        <w:rPr>
          <w:color w:val="auto"/>
          <w:highlight w:val="none"/>
        </w:rPr>
        <w:fldChar w:fldCharType="separate"/>
      </w:r>
      <w:r>
        <w:rPr>
          <w:rFonts w:hint="eastAsia" w:ascii="宋体" w:hAnsi="宋体" w:cs="宋体"/>
          <w:color w:val="auto"/>
          <w:sz w:val="21"/>
          <w:szCs w:val="21"/>
          <w:highlight w:val="none"/>
        </w:rPr>
        <w:t>第六章  采购单位、招标代理机构对本采购文件的确认</w:t>
      </w:r>
      <w:r>
        <w:rPr>
          <w:rFonts w:hint="eastAsia" w:ascii="宋体" w:hAnsi="宋体" w:cs="宋体"/>
          <w:color w:val="auto"/>
          <w:sz w:val="21"/>
          <w:szCs w:val="21"/>
          <w:highlight w:val="none"/>
        </w:rPr>
        <w:tab/>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lang w:val="en-US" w:eastAsia="zh-CN"/>
        </w:rPr>
        <w:t>9</w:t>
      </w:r>
    </w:p>
    <w:p w14:paraId="59DDAE6F">
      <w:pPr>
        <w:rPr>
          <w:rFonts w:ascii="宋体" w:hAnsi="宋体" w:cs="宋体"/>
          <w:color w:val="auto"/>
          <w:sz w:val="24"/>
          <w:highlight w:val="none"/>
        </w:rPr>
      </w:pPr>
      <w:r>
        <w:rPr>
          <w:rFonts w:hint="eastAsia" w:ascii="宋体" w:hAnsi="宋体" w:cs="宋体"/>
          <w:color w:val="auto"/>
          <w:highlight w:val="none"/>
        </w:rPr>
        <w:fldChar w:fldCharType="end"/>
      </w:r>
    </w:p>
    <w:p w14:paraId="2879C186">
      <w:pPr>
        <w:tabs>
          <w:tab w:val="left" w:pos="9040"/>
        </w:tabs>
        <w:adjustRightInd w:val="0"/>
        <w:snapToGrid w:val="0"/>
        <w:spacing w:before="162" w:beforeLines="50" w:after="162" w:afterLines="50" w:line="600" w:lineRule="exact"/>
        <w:ind w:left="230" w:leftChars="103" w:hanging="14" w:hangingChars="6"/>
        <w:rPr>
          <w:rFonts w:ascii="宋体" w:hAnsi="宋体" w:cs="宋体"/>
          <w:color w:val="auto"/>
          <w:sz w:val="24"/>
          <w:highlight w:val="none"/>
        </w:rPr>
      </w:pPr>
    </w:p>
    <w:p w14:paraId="62020C6B">
      <w:pPr>
        <w:rPr>
          <w:rFonts w:ascii="宋体" w:hAnsi="宋体" w:cs="宋体"/>
          <w:b/>
          <w:color w:val="auto"/>
          <w:sz w:val="32"/>
          <w:highlight w:val="none"/>
        </w:rPr>
      </w:pPr>
    </w:p>
    <w:p w14:paraId="03A33D71">
      <w:pPr>
        <w:rPr>
          <w:rFonts w:ascii="宋体" w:hAnsi="宋体" w:cs="宋体"/>
          <w:b/>
          <w:color w:val="auto"/>
          <w:sz w:val="32"/>
          <w:highlight w:val="none"/>
        </w:rPr>
      </w:pPr>
    </w:p>
    <w:p w14:paraId="2878BFFD">
      <w:pPr>
        <w:rPr>
          <w:rFonts w:ascii="宋体" w:hAnsi="宋体" w:cs="宋体"/>
          <w:b/>
          <w:color w:val="auto"/>
          <w:sz w:val="32"/>
          <w:highlight w:val="none"/>
        </w:rPr>
      </w:pPr>
    </w:p>
    <w:p w14:paraId="3B6A1FA2">
      <w:pPr>
        <w:rPr>
          <w:rFonts w:ascii="宋体" w:hAnsi="宋体" w:cs="宋体"/>
          <w:b/>
          <w:color w:val="auto"/>
          <w:sz w:val="32"/>
          <w:highlight w:val="none"/>
        </w:rPr>
      </w:pPr>
    </w:p>
    <w:p w14:paraId="714C51B5">
      <w:pPr>
        <w:pStyle w:val="2"/>
        <w:keepLines w:val="0"/>
        <w:pageBreakBefore/>
        <w:spacing w:before="162" w:beforeLines="50" w:after="162" w:afterLines="50" w:line="440" w:lineRule="exact"/>
        <w:jc w:val="center"/>
        <w:rPr>
          <w:rFonts w:ascii="宋体" w:hAnsi="宋体" w:cs="宋体"/>
          <w:color w:val="auto"/>
          <w:sz w:val="32"/>
          <w:szCs w:val="32"/>
          <w:highlight w:val="none"/>
        </w:rPr>
      </w:pPr>
      <w:bookmarkStart w:id="11" w:name="_Toc24626"/>
      <w:r>
        <w:rPr>
          <w:rFonts w:hint="eastAsia" w:ascii="宋体" w:hAnsi="宋体" w:cs="宋体"/>
          <w:color w:val="auto"/>
          <w:sz w:val="32"/>
          <w:szCs w:val="32"/>
          <w:highlight w:val="none"/>
          <w:lang w:eastAsia="zh-CN"/>
        </w:rPr>
        <w:t>滁州学院2025年人工智能学院行政办公家具采购项目</w:t>
      </w:r>
      <w:r>
        <w:rPr>
          <w:rFonts w:hint="eastAsia" w:ascii="宋体" w:hAnsi="宋体" w:cs="宋体"/>
          <w:color w:val="auto"/>
          <w:sz w:val="32"/>
          <w:szCs w:val="32"/>
          <w:highlight w:val="none"/>
        </w:rPr>
        <w:t>招标公告</w:t>
      </w:r>
      <w:bookmarkEnd w:id="11"/>
    </w:p>
    <w:p w14:paraId="17E76E03">
      <w:pPr>
        <w:spacing w:before="162" w:beforeLines="50" w:after="162" w:afterLines="50" w:line="440" w:lineRule="exact"/>
        <w:jc w:val="left"/>
        <w:outlineLvl w:val="0"/>
        <w:rPr>
          <w:rFonts w:ascii="黑体" w:hAnsi="黑体" w:eastAsia="黑体" w:cs="黑体"/>
          <w:b/>
          <w:bCs/>
          <w:color w:val="auto"/>
          <w:szCs w:val="21"/>
          <w:highlight w:val="none"/>
        </w:rPr>
      </w:pPr>
      <w:bookmarkStart w:id="12" w:name="_Toc4542"/>
      <w:r>
        <w:rPr>
          <w:rFonts w:hint="eastAsia" w:ascii="黑体" w:hAnsi="黑体" w:eastAsia="黑体" w:cs="黑体"/>
          <w:b/>
          <w:bCs/>
          <w:color w:val="auto"/>
          <w:szCs w:val="21"/>
          <w:highlight w:val="none"/>
        </w:rPr>
        <w:t>项目概况</w:t>
      </w:r>
      <w:bookmarkEnd w:id="12"/>
    </w:p>
    <w:p w14:paraId="24743A3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eastAsia="zh-CN"/>
        </w:rPr>
        <w:t>滁州学院2025年人工智能学院行政办公家具采购项目</w:t>
      </w:r>
      <w:r>
        <w:rPr>
          <w:rFonts w:hint="eastAsia" w:ascii="宋体" w:hAnsi="宋体" w:cs="宋体"/>
          <w:color w:val="auto"/>
          <w:szCs w:val="21"/>
          <w:highlight w:val="none"/>
        </w:rPr>
        <w:t>的潜在投标供应商应在滁州学院网站（http://zcc.chzu.edu.cn）资产与实验室管理处网页采购公告栏中下载文件。并于</w:t>
      </w:r>
      <w:r>
        <w:rPr>
          <w:rFonts w:hint="eastAsia" w:ascii="黑体" w:hAnsi="黑体" w:eastAsia="黑体" w:cs="黑体"/>
          <w:b/>
          <w:bCs/>
          <w:color w:val="auto"/>
          <w:szCs w:val="21"/>
          <w:highlight w:val="none"/>
          <w:lang w:eastAsia="zh-CN"/>
        </w:rPr>
        <w:t>202</w:t>
      </w:r>
      <w:r>
        <w:rPr>
          <w:rFonts w:hint="eastAsia" w:ascii="黑体" w:hAnsi="黑体" w:eastAsia="黑体" w:cs="黑体"/>
          <w:b/>
          <w:bCs/>
          <w:color w:val="auto"/>
          <w:szCs w:val="21"/>
          <w:highlight w:val="none"/>
          <w:lang w:val="en-US" w:eastAsia="zh-CN"/>
        </w:rPr>
        <w:t>5</w:t>
      </w:r>
      <w:r>
        <w:rPr>
          <w:rFonts w:hint="eastAsia" w:ascii="黑体" w:hAnsi="黑体" w:eastAsia="黑体" w:cs="黑体"/>
          <w:b/>
          <w:bCs/>
          <w:color w:val="auto"/>
          <w:szCs w:val="21"/>
          <w:highlight w:val="none"/>
          <w:lang w:eastAsia="zh-CN"/>
        </w:rPr>
        <w:t>年</w:t>
      </w:r>
      <w:r>
        <w:rPr>
          <w:rFonts w:hint="eastAsia" w:ascii="黑体" w:hAnsi="黑体" w:eastAsia="黑体" w:cs="黑体"/>
          <w:b/>
          <w:bCs/>
          <w:color w:val="auto"/>
          <w:szCs w:val="21"/>
          <w:highlight w:val="none"/>
          <w:lang w:val="en-US" w:eastAsia="zh-CN"/>
        </w:rPr>
        <w:t>6</w:t>
      </w:r>
      <w:r>
        <w:rPr>
          <w:rFonts w:hint="eastAsia" w:ascii="黑体" w:hAnsi="黑体" w:eastAsia="黑体" w:cs="黑体"/>
          <w:b/>
          <w:bCs/>
          <w:color w:val="auto"/>
          <w:szCs w:val="21"/>
          <w:highlight w:val="none"/>
          <w:lang w:eastAsia="zh-CN"/>
        </w:rPr>
        <w:t>月</w:t>
      </w:r>
      <w:r>
        <w:rPr>
          <w:rFonts w:hint="eastAsia" w:ascii="黑体" w:hAnsi="黑体" w:eastAsia="黑体" w:cs="黑体"/>
          <w:b/>
          <w:bCs/>
          <w:color w:val="auto"/>
          <w:szCs w:val="21"/>
          <w:highlight w:val="none"/>
          <w:lang w:val="en-US" w:eastAsia="zh-CN"/>
        </w:rPr>
        <w:t>30</w:t>
      </w:r>
      <w:r>
        <w:rPr>
          <w:rFonts w:hint="eastAsia" w:ascii="黑体" w:hAnsi="黑体" w:eastAsia="黑体" w:cs="黑体"/>
          <w:b/>
          <w:bCs/>
          <w:color w:val="auto"/>
          <w:szCs w:val="21"/>
          <w:highlight w:val="none"/>
          <w:lang w:eastAsia="zh-CN"/>
        </w:rPr>
        <w:t>日</w:t>
      </w:r>
      <w:r>
        <w:rPr>
          <w:rFonts w:hint="eastAsia" w:ascii="黑体" w:hAnsi="黑体" w:eastAsia="黑体" w:cs="黑体"/>
          <w:b/>
          <w:bCs/>
          <w:color w:val="auto"/>
          <w:szCs w:val="21"/>
          <w:highlight w:val="none"/>
          <w:lang w:val="en-US" w:eastAsia="zh-CN"/>
        </w:rPr>
        <w:t>9</w:t>
      </w:r>
      <w:r>
        <w:rPr>
          <w:rFonts w:hint="eastAsia" w:ascii="黑体" w:hAnsi="黑体" w:eastAsia="黑体" w:cs="黑体"/>
          <w:b/>
          <w:bCs/>
          <w:color w:val="auto"/>
          <w:szCs w:val="21"/>
          <w:highlight w:val="none"/>
          <w:lang w:eastAsia="zh-CN"/>
        </w:rPr>
        <w:t>时00分</w:t>
      </w:r>
      <w:r>
        <w:rPr>
          <w:rFonts w:hint="eastAsia" w:ascii="宋体" w:hAnsi="宋体" w:cs="宋体"/>
          <w:color w:val="auto"/>
          <w:szCs w:val="21"/>
          <w:highlight w:val="none"/>
        </w:rPr>
        <w:t>（北京时间）前递交投标文件。</w:t>
      </w:r>
      <w:bookmarkStart w:id="13" w:name="_Toc35393621"/>
      <w:bookmarkStart w:id="14" w:name="_Toc28359002"/>
      <w:bookmarkStart w:id="15" w:name="_Toc35393790"/>
      <w:bookmarkStart w:id="16" w:name="_Toc5872"/>
      <w:bookmarkStart w:id="17" w:name="_Toc28359079"/>
      <w:bookmarkStart w:id="18" w:name="_Hlk24379207"/>
    </w:p>
    <w:p w14:paraId="19EB0523">
      <w:pPr>
        <w:spacing w:before="162" w:beforeLines="50" w:after="162" w:afterLines="50" w:line="440" w:lineRule="exact"/>
        <w:jc w:val="left"/>
        <w:outlineLvl w:val="1"/>
        <w:rPr>
          <w:rFonts w:ascii="黑体" w:hAnsi="黑体" w:eastAsia="黑体" w:cs="黑体"/>
          <w:b/>
          <w:bCs/>
          <w:color w:val="auto"/>
          <w:szCs w:val="21"/>
          <w:highlight w:val="none"/>
        </w:rPr>
      </w:pPr>
      <w:bookmarkStart w:id="19" w:name="_Toc10806"/>
      <w:r>
        <w:rPr>
          <w:rFonts w:hint="eastAsia" w:ascii="黑体" w:hAnsi="黑体" w:eastAsia="黑体" w:cs="黑体"/>
          <w:b/>
          <w:bCs/>
          <w:color w:val="auto"/>
          <w:szCs w:val="21"/>
          <w:highlight w:val="none"/>
        </w:rPr>
        <w:t>一、项目基本情况</w:t>
      </w:r>
      <w:bookmarkEnd w:id="13"/>
      <w:bookmarkEnd w:id="14"/>
      <w:bookmarkEnd w:id="15"/>
      <w:bookmarkEnd w:id="16"/>
      <w:bookmarkEnd w:id="17"/>
      <w:bookmarkEnd w:id="19"/>
    </w:p>
    <w:p w14:paraId="6830D46C">
      <w:pPr>
        <w:spacing w:line="44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项目编号：</w:t>
      </w:r>
      <w:r>
        <w:rPr>
          <w:rFonts w:hint="eastAsia" w:ascii="宋体" w:hAnsi="宋体" w:cs="宋体"/>
          <w:color w:val="auto"/>
          <w:highlight w:val="none"/>
        </w:rPr>
        <w:t>202</w:t>
      </w:r>
      <w:r>
        <w:rPr>
          <w:rFonts w:hint="eastAsia" w:ascii="宋体" w:hAnsi="宋体" w:cs="宋体"/>
          <w:color w:val="auto"/>
          <w:highlight w:val="none"/>
          <w:lang w:val="en-US" w:eastAsia="zh-CN"/>
        </w:rPr>
        <w:t>5</w:t>
      </w:r>
      <w:r>
        <w:rPr>
          <w:rFonts w:hint="eastAsia" w:ascii="宋体" w:hAnsi="宋体" w:cs="宋体"/>
          <w:color w:val="auto"/>
          <w:highlight w:val="none"/>
        </w:rPr>
        <w:t>CG-0</w:t>
      </w:r>
      <w:r>
        <w:rPr>
          <w:rFonts w:hint="eastAsia" w:ascii="宋体" w:hAnsi="宋体" w:cs="宋体"/>
          <w:color w:val="auto"/>
          <w:highlight w:val="none"/>
          <w:lang w:val="en-US" w:eastAsia="zh-CN"/>
        </w:rPr>
        <w:t>37</w:t>
      </w:r>
    </w:p>
    <w:p w14:paraId="345222BB">
      <w:pPr>
        <w:pStyle w:val="19"/>
        <w:spacing w:before="0" w:line="440" w:lineRule="exact"/>
        <w:ind w:left="0" w:firstLine="420" w:firstLineChars="200"/>
        <w:rPr>
          <w:b w:val="0"/>
          <w:bCs w:val="0"/>
          <w:color w:val="auto"/>
          <w:kern w:val="2"/>
          <w:sz w:val="21"/>
          <w:szCs w:val="21"/>
          <w:highlight w:val="none"/>
          <w:lang w:val="en-US" w:bidi="ar-SA"/>
        </w:rPr>
      </w:pPr>
      <w:r>
        <w:rPr>
          <w:rFonts w:hint="eastAsia"/>
          <w:b w:val="0"/>
          <w:bCs w:val="0"/>
          <w:color w:val="auto"/>
          <w:kern w:val="2"/>
          <w:sz w:val="21"/>
          <w:szCs w:val="21"/>
          <w:highlight w:val="none"/>
          <w:lang w:val="en-US" w:bidi="ar-SA"/>
        </w:rPr>
        <w:t>项目名称：</w:t>
      </w:r>
      <w:bookmarkEnd w:id="18"/>
      <w:r>
        <w:rPr>
          <w:rFonts w:hint="eastAsia"/>
          <w:b w:val="0"/>
          <w:bCs w:val="0"/>
          <w:color w:val="auto"/>
          <w:kern w:val="2"/>
          <w:sz w:val="21"/>
          <w:szCs w:val="21"/>
          <w:highlight w:val="none"/>
          <w:lang w:val="en-US" w:eastAsia="zh-CN" w:bidi="ar-SA"/>
        </w:rPr>
        <w:t>滁州学院2025年人工智能学院行政办公家具采购项目</w:t>
      </w:r>
      <w:r>
        <w:rPr>
          <w:rFonts w:hint="eastAsia"/>
          <w:b w:val="0"/>
          <w:bCs w:val="0"/>
          <w:color w:val="auto"/>
          <w:kern w:val="2"/>
          <w:sz w:val="21"/>
          <w:szCs w:val="21"/>
          <w:highlight w:val="none"/>
          <w:lang w:val="en-US" w:bidi="ar-SA"/>
        </w:rPr>
        <w:t xml:space="preserve">    </w:t>
      </w:r>
    </w:p>
    <w:p w14:paraId="4E0B1E33">
      <w:pPr>
        <w:pStyle w:val="19"/>
        <w:spacing w:before="0" w:line="440" w:lineRule="exact"/>
        <w:ind w:left="0" w:firstLine="420" w:firstLineChars="200"/>
        <w:rPr>
          <w:rFonts w:hint="eastAsia" w:eastAsia="宋体"/>
          <w:b w:val="0"/>
          <w:bCs w:val="0"/>
          <w:color w:val="auto"/>
          <w:kern w:val="2"/>
          <w:sz w:val="21"/>
          <w:szCs w:val="21"/>
          <w:highlight w:val="none"/>
          <w:lang w:val="en-US" w:eastAsia="zh-CN" w:bidi="ar-SA"/>
        </w:rPr>
      </w:pPr>
      <w:r>
        <w:rPr>
          <w:rFonts w:hint="eastAsia"/>
          <w:b w:val="0"/>
          <w:bCs w:val="0"/>
          <w:color w:val="auto"/>
          <w:kern w:val="2"/>
          <w:sz w:val="21"/>
          <w:szCs w:val="21"/>
          <w:highlight w:val="none"/>
          <w:lang w:val="en-US" w:bidi="ar-SA"/>
        </w:rPr>
        <w:t>项目预算：16192</w:t>
      </w:r>
      <w:r>
        <w:rPr>
          <w:rFonts w:hint="eastAsia"/>
          <w:b w:val="0"/>
          <w:bCs w:val="0"/>
          <w:color w:val="auto"/>
          <w:kern w:val="2"/>
          <w:sz w:val="21"/>
          <w:szCs w:val="21"/>
          <w:highlight w:val="none"/>
          <w:lang w:val="en-US" w:eastAsia="zh-CN" w:bidi="ar-SA"/>
        </w:rPr>
        <w:t>0.00</w:t>
      </w:r>
      <w:r>
        <w:rPr>
          <w:rFonts w:hint="eastAsia"/>
          <w:b w:val="0"/>
          <w:bCs w:val="0"/>
          <w:color w:val="auto"/>
          <w:kern w:val="2"/>
          <w:sz w:val="21"/>
          <w:szCs w:val="21"/>
          <w:highlight w:val="none"/>
          <w:lang w:val="en-US" w:bidi="ar-SA"/>
        </w:rPr>
        <w:t>元</w:t>
      </w:r>
      <w:r>
        <w:rPr>
          <w:rFonts w:hint="eastAsia"/>
          <w:b w:val="0"/>
          <w:bCs w:val="0"/>
          <w:color w:val="auto"/>
          <w:kern w:val="2"/>
          <w:sz w:val="21"/>
          <w:szCs w:val="21"/>
          <w:highlight w:val="none"/>
          <w:lang w:val="en-US" w:eastAsia="zh-CN" w:bidi="ar-SA"/>
        </w:rPr>
        <w:t>；</w:t>
      </w:r>
    </w:p>
    <w:p w14:paraId="1B92623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最高限价：</w:t>
      </w:r>
      <w:r>
        <w:rPr>
          <w:rFonts w:hint="eastAsia" w:ascii="宋体" w:hAnsi="宋体" w:cs="宋体"/>
          <w:color w:val="auto"/>
          <w:szCs w:val="21"/>
          <w:highlight w:val="none"/>
          <w:lang w:val="en-US" w:eastAsia="zh-CN"/>
        </w:rPr>
        <w:t>壹拾陆万壹仟玖佰贰拾元整</w:t>
      </w:r>
      <w:r>
        <w:rPr>
          <w:rFonts w:hint="eastAsia" w:ascii="宋体" w:hAnsi="宋体" w:cs="宋体"/>
          <w:color w:val="auto"/>
          <w:szCs w:val="21"/>
          <w:highlight w:val="none"/>
        </w:rPr>
        <w:t>（16192</w:t>
      </w:r>
      <w:r>
        <w:rPr>
          <w:rFonts w:hint="eastAsia" w:ascii="宋体" w:hAnsi="宋体" w:cs="宋体"/>
          <w:color w:val="auto"/>
          <w:szCs w:val="21"/>
          <w:highlight w:val="none"/>
          <w:lang w:val="en-US" w:eastAsia="zh-CN"/>
        </w:rPr>
        <w:t>0.00</w:t>
      </w:r>
      <w:r>
        <w:rPr>
          <w:rFonts w:hint="eastAsia" w:ascii="宋体" w:hAnsi="宋体" w:cs="宋体"/>
          <w:color w:val="auto"/>
          <w:szCs w:val="21"/>
          <w:highlight w:val="none"/>
        </w:rPr>
        <w:t>元）</w:t>
      </w:r>
      <w:r>
        <w:rPr>
          <w:rFonts w:hint="eastAsia" w:ascii="宋体" w:hAnsi="宋体" w:cs="宋体"/>
          <w:color w:val="auto"/>
          <w:sz w:val="22"/>
          <w:szCs w:val="22"/>
          <w:highlight w:val="none"/>
          <w:u w:color="000000"/>
        </w:rPr>
        <w:t>，</w:t>
      </w:r>
      <w:r>
        <w:rPr>
          <w:rFonts w:hint="eastAsia" w:ascii="宋体" w:hAnsi="宋体" w:cs="宋体"/>
          <w:color w:val="auto"/>
          <w:highlight w:val="none"/>
        </w:rPr>
        <w:t>供应商的响应报价不得高于采购人发布的最高限价，否则按无效标处理</w:t>
      </w:r>
      <w:r>
        <w:rPr>
          <w:rFonts w:hint="eastAsia" w:ascii="宋体" w:hAnsi="宋体" w:cs="宋体"/>
          <w:color w:val="auto"/>
          <w:szCs w:val="21"/>
          <w:highlight w:val="none"/>
        </w:rPr>
        <w:t>。</w:t>
      </w:r>
    </w:p>
    <w:p w14:paraId="59CDDF9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采购需求：具体详见采购文件中《采购需求及技术参数要求》。</w:t>
      </w:r>
    </w:p>
    <w:p w14:paraId="4A06C1D9">
      <w:pPr>
        <w:spacing w:line="440" w:lineRule="exact"/>
        <w:ind w:firstLine="420" w:firstLineChars="200"/>
        <w:jc w:val="left"/>
        <w:rPr>
          <w:color w:val="auto"/>
          <w:highlight w:val="none"/>
        </w:rPr>
      </w:pPr>
      <w:r>
        <w:rPr>
          <w:rFonts w:hint="eastAsia" w:ascii="宋体" w:hAnsi="宋体" w:cs="宋体"/>
          <w:color w:val="auto"/>
          <w:szCs w:val="21"/>
          <w:highlight w:val="none"/>
        </w:rPr>
        <w:t>合同履行期限：合同签订后15个日历天供货安装完毕。</w:t>
      </w:r>
    </w:p>
    <w:p w14:paraId="71037ED4">
      <w:pPr>
        <w:spacing w:line="440" w:lineRule="exact"/>
        <w:ind w:firstLine="420" w:firstLineChars="200"/>
        <w:jc w:val="left"/>
        <w:rPr>
          <w:rFonts w:hint="eastAsia" w:eastAsia="宋体"/>
          <w:color w:val="auto"/>
          <w:highlight w:val="none"/>
          <w:lang w:val="en-US" w:eastAsia="zh-CN"/>
        </w:rPr>
      </w:pPr>
      <w:r>
        <w:rPr>
          <w:rFonts w:hint="eastAsia"/>
          <w:color w:val="auto"/>
          <w:highlight w:val="none"/>
          <w:lang w:val="en-US" w:eastAsia="zh-CN"/>
        </w:rPr>
        <w:t>质保期：本项目免费质量保证期为 1年。</w:t>
      </w:r>
    </w:p>
    <w:p w14:paraId="00478B8F">
      <w:pPr>
        <w:spacing w:before="162" w:beforeLines="50" w:after="162" w:afterLines="50" w:line="440" w:lineRule="exact"/>
        <w:jc w:val="left"/>
        <w:outlineLvl w:val="1"/>
        <w:rPr>
          <w:rFonts w:ascii="黑体" w:hAnsi="黑体" w:eastAsia="黑体" w:cs="黑体"/>
          <w:b/>
          <w:bCs/>
          <w:color w:val="auto"/>
          <w:szCs w:val="21"/>
          <w:highlight w:val="none"/>
        </w:rPr>
      </w:pPr>
      <w:bookmarkStart w:id="20" w:name="_Toc28359003"/>
      <w:bookmarkStart w:id="21" w:name="_Toc28359080"/>
      <w:bookmarkStart w:id="22" w:name="_Toc35393622"/>
      <w:bookmarkStart w:id="23" w:name="_Toc35393791"/>
      <w:bookmarkStart w:id="24" w:name="_Toc26156"/>
      <w:bookmarkStart w:id="25" w:name="_Toc22650"/>
      <w:r>
        <w:rPr>
          <w:rFonts w:hint="eastAsia" w:ascii="黑体" w:hAnsi="黑体" w:eastAsia="黑体" w:cs="黑体"/>
          <w:b/>
          <w:bCs/>
          <w:color w:val="auto"/>
          <w:szCs w:val="21"/>
          <w:highlight w:val="none"/>
        </w:rPr>
        <w:t>二、申请人的资格要求</w:t>
      </w:r>
      <w:bookmarkEnd w:id="20"/>
      <w:bookmarkEnd w:id="21"/>
      <w:bookmarkEnd w:id="22"/>
      <w:bookmarkEnd w:id="23"/>
      <w:bookmarkEnd w:id="24"/>
      <w:bookmarkEnd w:id="25"/>
    </w:p>
    <w:p w14:paraId="53C1ABBD">
      <w:pPr>
        <w:spacing w:line="440" w:lineRule="exact"/>
        <w:ind w:firstLine="420" w:firstLineChars="200"/>
        <w:jc w:val="left"/>
        <w:rPr>
          <w:rFonts w:ascii="宋体" w:hAnsi="宋体" w:cs="宋体"/>
          <w:color w:val="auto"/>
          <w:szCs w:val="21"/>
          <w:highlight w:val="none"/>
        </w:rPr>
      </w:pPr>
      <w:bookmarkStart w:id="26" w:name="_Toc28359004"/>
      <w:bookmarkStart w:id="27" w:name="_Toc35393792"/>
      <w:bookmarkStart w:id="28" w:name="_Toc35393623"/>
      <w:bookmarkStart w:id="29" w:name="_Toc28359081"/>
      <w:r>
        <w:rPr>
          <w:rFonts w:hint="eastAsia" w:ascii="宋体" w:hAnsi="宋体" w:cs="宋体"/>
          <w:color w:val="auto"/>
          <w:szCs w:val="21"/>
          <w:highlight w:val="none"/>
        </w:rPr>
        <w:t>1、供应商必须具有承担民事责任能力，并且具有有效的营业执照（或三证合一有效证件）；</w:t>
      </w:r>
    </w:p>
    <w:p w14:paraId="47E653BE">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2、本项目不接受联合体；</w:t>
      </w:r>
    </w:p>
    <w:p w14:paraId="6A277F5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、信誉要求：供应商不得存在以下情形：</w:t>
      </w:r>
    </w:p>
    <w:p w14:paraId="084CBB85">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①供应商被人民法院列入失信被执行人的；</w:t>
      </w:r>
    </w:p>
    <w:p w14:paraId="02C2966A">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②供应商或其法定代表人被人民检察院列入行贿犯罪档案的；</w:t>
      </w:r>
    </w:p>
    <w:p w14:paraId="7E1123B7">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③供应商被市场监督管理部门列入经营异常名录或者严重违法企业名单的；</w:t>
      </w:r>
    </w:p>
    <w:p w14:paraId="7294210F">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④供应商被税收部门列入重大税收违法案件当事人的；</w:t>
      </w:r>
    </w:p>
    <w:p w14:paraId="37C53DDA">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⑤供应商被采购监管部门列入采购严重违法失信行为记录名单的；</w:t>
      </w:r>
    </w:p>
    <w:p w14:paraId="24E2A25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⑥在“信用中国”网站上披露仍在公示期的严重失信行为的；</w:t>
      </w:r>
    </w:p>
    <w:p w14:paraId="257AF51E">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⑦被滁州市县两级行业主管部门及公管部门禁止在一定期限内参加采购活动且在禁止期限内的；</w:t>
      </w:r>
    </w:p>
    <w:p w14:paraId="791A4FFE">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⑧被滁州市县两级公管部门记入不良行为记录或者信用信息记录，且在披露期内的；</w:t>
      </w:r>
    </w:p>
    <w:p w14:paraId="017BCA26">
      <w:pPr>
        <w:spacing w:before="162" w:beforeLines="50" w:after="162" w:afterLines="50" w:line="440" w:lineRule="exact"/>
        <w:jc w:val="left"/>
        <w:outlineLvl w:val="1"/>
        <w:rPr>
          <w:rFonts w:ascii="黑体" w:hAnsi="黑体" w:eastAsia="黑体" w:cs="黑体"/>
          <w:b/>
          <w:bCs/>
          <w:color w:val="auto"/>
          <w:szCs w:val="21"/>
          <w:highlight w:val="none"/>
        </w:rPr>
      </w:pPr>
      <w:bookmarkStart w:id="30" w:name="_Toc15392"/>
      <w:r>
        <w:rPr>
          <w:rFonts w:hint="eastAsia" w:ascii="黑体" w:hAnsi="黑体" w:eastAsia="黑体" w:cs="黑体"/>
          <w:b/>
          <w:bCs/>
          <w:color w:val="auto"/>
          <w:szCs w:val="21"/>
          <w:highlight w:val="none"/>
        </w:rPr>
        <w:t>三、获取采购文件</w:t>
      </w:r>
      <w:bookmarkEnd w:id="30"/>
    </w:p>
    <w:p w14:paraId="0506C57C">
      <w:pPr>
        <w:spacing w:line="440" w:lineRule="exact"/>
        <w:ind w:firstLine="420" w:firstLineChars="200"/>
        <w:jc w:val="left"/>
        <w:rPr>
          <w:rFonts w:hint="eastAsia" w:ascii="黑体" w:hAnsi="黑体" w:eastAsia="黑体" w:cs="黑体"/>
          <w:b/>
          <w:bCs/>
          <w:color w:val="auto"/>
          <w:szCs w:val="21"/>
          <w:highlight w:val="none"/>
          <w:lang w:eastAsia="zh-CN"/>
        </w:rPr>
      </w:pPr>
      <w:r>
        <w:rPr>
          <w:rFonts w:hint="eastAsia" w:ascii="宋体" w:hAnsi="宋体" w:cs="宋体"/>
          <w:bCs/>
          <w:color w:val="auto"/>
          <w:kern w:val="0"/>
          <w:szCs w:val="21"/>
          <w:highlight w:val="none"/>
        </w:rPr>
        <w:t>获取时间：</w:t>
      </w:r>
      <w:r>
        <w:rPr>
          <w:rFonts w:hint="eastAsia" w:ascii="黑体" w:hAnsi="黑体" w:eastAsia="黑体" w:cs="黑体"/>
          <w:b/>
          <w:bCs/>
          <w:color w:val="auto"/>
          <w:szCs w:val="21"/>
          <w:highlight w:val="none"/>
        </w:rPr>
        <w:t>202</w:t>
      </w:r>
      <w:r>
        <w:rPr>
          <w:rFonts w:hint="eastAsia" w:ascii="黑体" w:hAnsi="黑体" w:eastAsia="黑体" w:cs="黑体"/>
          <w:b/>
          <w:bCs/>
          <w:color w:val="auto"/>
          <w:szCs w:val="21"/>
          <w:highlight w:val="none"/>
          <w:lang w:val="en-US" w:eastAsia="zh-CN"/>
        </w:rPr>
        <w:t>5</w:t>
      </w:r>
      <w:r>
        <w:rPr>
          <w:rFonts w:hint="eastAsia" w:ascii="黑体" w:hAnsi="黑体" w:eastAsia="黑体" w:cs="黑体"/>
          <w:b/>
          <w:bCs/>
          <w:color w:val="auto"/>
          <w:szCs w:val="21"/>
          <w:highlight w:val="none"/>
        </w:rPr>
        <w:t>年</w:t>
      </w:r>
      <w:r>
        <w:rPr>
          <w:rFonts w:hint="eastAsia" w:ascii="黑体" w:hAnsi="黑体" w:eastAsia="黑体" w:cs="黑体"/>
          <w:b/>
          <w:bCs/>
          <w:color w:val="auto"/>
          <w:szCs w:val="21"/>
          <w:highlight w:val="none"/>
          <w:lang w:val="en-US" w:eastAsia="zh-CN"/>
        </w:rPr>
        <w:t>6</w:t>
      </w:r>
      <w:r>
        <w:rPr>
          <w:rFonts w:hint="eastAsia" w:ascii="黑体" w:hAnsi="黑体" w:eastAsia="黑体" w:cs="黑体"/>
          <w:b/>
          <w:bCs/>
          <w:color w:val="auto"/>
          <w:szCs w:val="21"/>
          <w:highlight w:val="none"/>
        </w:rPr>
        <w:t>月</w:t>
      </w:r>
      <w:r>
        <w:rPr>
          <w:rFonts w:hint="eastAsia" w:ascii="黑体" w:hAnsi="黑体" w:eastAsia="黑体" w:cs="黑体"/>
          <w:b/>
          <w:bCs/>
          <w:color w:val="auto"/>
          <w:szCs w:val="21"/>
          <w:highlight w:val="none"/>
          <w:lang w:val="en-US" w:eastAsia="zh-CN"/>
        </w:rPr>
        <w:t>9</w:t>
      </w:r>
      <w:r>
        <w:rPr>
          <w:rFonts w:hint="eastAsia" w:ascii="黑体" w:hAnsi="黑体" w:eastAsia="黑体" w:cs="黑体"/>
          <w:b/>
          <w:bCs/>
          <w:color w:val="auto"/>
          <w:szCs w:val="21"/>
          <w:highlight w:val="none"/>
        </w:rPr>
        <w:t>日至</w:t>
      </w:r>
      <w:r>
        <w:rPr>
          <w:rFonts w:hint="eastAsia" w:ascii="黑体" w:hAnsi="黑体" w:eastAsia="黑体" w:cs="黑体"/>
          <w:b/>
          <w:bCs/>
          <w:color w:val="auto"/>
          <w:szCs w:val="21"/>
          <w:highlight w:val="none"/>
          <w:lang w:eastAsia="zh-CN"/>
        </w:rPr>
        <w:t>202</w:t>
      </w:r>
      <w:r>
        <w:rPr>
          <w:rFonts w:hint="eastAsia" w:ascii="黑体" w:hAnsi="黑体" w:eastAsia="黑体" w:cs="黑体"/>
          <w:b/>
          <w:bCs/>
          <w:color w:val="auto"/>
          <w:szCs w:val="21"/>
          <w:highlight w:val="none"/>
          <w:lang w:val="en-US" w:eastAsia="zh-CN"/>
        </w:rPr>
        <w:t>5</w:t>
      </w:r>
      <w:r>
        <w:rPr>
          <w:rFonts w:hint="eastAsia" w:ascii="黑体" w:hAnsi="黑体" w:eastAsia="黑体" w:cs="黑体"/>
          <w:b/>
          <w:bCs/>
          <w:color w:val="auto"/>
          <w:szCs w:val="21"/>
          <w:highlight w:val="none"/>
          <w:lang w:eastAsia="zh-CN"/>
        </w:rPr>
        <w:t>年</w:t>
      </w:r>
      <w:r>
        <w:rPr>
          <w:rFonts w:hint="eastAsia" w:ascii="黑体" w:hAnsi="黑体" w:eastAsia="黑体" w:cs="黑体"/>
          <w:b/>
          <w:bCs/>
          <w:color w:val="auto"/>
          <w:szCs w:val="21"/>
          <w:highlight w:val="none"/>
          <w:lang w:val="en-US" w:eastAsia="zh-CN"/>
        </w:rPr>
        <w:t>6</w:t>
      </w:r>
      <w:r>
        <w:rPr>
          <w:rFonts w:hint="eastAsia" w:ascii="黑体" w:hAnsi="黑体" w:eastAsia="黑体" w:cs="黑体"/>
          <w:b/>
          <w:bCs/>
          <w:color w:val="auto"/>
          <w:szCs w:val="21"/>
          <w:highlight w:val="none"/>
          <w:lang w:eastAsia="zh-CN"/>
        </w:rPr>
        <w:t>月</w:t>
      </w:r>
      <w:r>
        <w:rPr>
          <w:rFonts w:hint="eastAsia" w:ascii="黑体" w:hAnsi="黑体" w:eastAsia="黑体" w:cs="黑体"/>
          <w:b/>
          <w:bCs/>
          <w:color w:val="auto"/>
          <w:szCs w:val="21"/>
          <w:highlight w:val="none"/>
          <w:lang w:val="en-US" w:eastAsia="zh-CN"/>
        </w:rPr>
        <w:t>30</w:t>
      </w:r>
      <w:r>
        <w:rPr>
          <w:rFonts w:hint="eastAsia" w:ascii="黑体" w:hAnsi="黑体" w:eastAsia="黑体" w:cs="黑体"/>
          <w:b/>
          <w:bCs/>
          <w:color w:val="auto"/>
          <w:szCs w:val="21"/>
          <w:highlight w:val="none"/>
          <w:lang w:eastAsia="zh-CN"/>
        </w:rPr>
        <w:t>日</w:t>
      </w:r>
      <w:r>
        <w:rPr>
          <w:rFonts w:hint="eastAsia" w:ascii="黑体" w:hAnsi="黑体" w:eastAsia="黑体" w:cs="黑体"/>
          <w:b/>
          <w:bCs/>
          <w:color w:val="auto"/>
          <w:szCs w:val="21"/>
          <w:highlight w:val="none"/>
          <w:lang w:val="en-US" w:eastAsia="zh-CN"/>
        </w:rPr>
        <w:t>9</w:t>
      </w:r>
      <w:r>
        <w:rPr>
          <w:rFonts w:hint="eastAsia" w:ascii="黑体" w:hAnsi="黑体" w:eastAsia="黑体" w:cs="黑体"/>
          <w:b/>
          <w:bCs/>
          <w:color w:val="auto"/>
          <w:szCs w:val="21"/>
          <w:highlight w:val="none"/>
          <w:lang w:eastAsia="zh-CN"/>
        </w:rPr>
        <w:t>时00分</w:t>
      </w:r>
    </w:p>
    <w:p w14:paraId="6FD2E9EE">
      <w:pPr>
        <w:spacing w:line="440" w:lineRule="exact"/>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获取地点：滁州学院网站（http://zcc.chzu.edu.cn）资产与实验室管理处网页采购公告栏中下载采购文件。</w:t>
      </w:r>
    </w:p>
    <w:p w14:paraId="09654A88">
      <w:pPr>
        <w:pStyle w:val="3"/>
        <w:adjustRightInd w:val="0"/>
        <w:spacing w:before="0" w:after="0" w:line="440" w:lineRule="exact"/>
        <w:ind w:firstLine="420" w:firstLineChars="200"/>
        <w:jc w:val="left"/>
        <w:rPr>
          <w:rFonts w:ascii="宋体" w:hAnsi="宋体" w:eastAsia="宋体" w:cs="宋体"/>
          <w:b w:val="0"/>
          <w:color w:val="auto"/>
          <w:kern w:val="0"/>
          <w:sz w:val="21"/>
          <w:szCs w:val="21"/>
          <w:highlight w:val="none"/>
        </w:rPr>
      </w:pPr>
      <w:bookmarkStart w:id="31" w:name="_Toc3822"/>
      <w:r>
        <w:rPr>
          <w:rFonts w:hint="eastAsia" w:ascii="宋体" w:hAnsi="宋体" w:eastAsia="宋体" w:cs="宋体"/>
          <w:b w:val="0"/>
          <w:color w:val="auto"/>
          <w:kern w:val="0"/>
          <w:sz w:val="21"/>
          <w:szCs w:val="21"/>
          <w:highlight w:val="none"/>
        </w:rPr>
        <w:t>发售方式：网上下载</w:t>
      </w:r>
      <w:bookmarkEnd w:id="31"/>
    </w:p>
    <w:p w14:paraId="0DE8E966">
      <w:pPr>
        <w:pStyle w:val="3"/>
        <w:adjustRightInd w:val="0"/>
        <w:spacing w:before="0" w:after="0" w:line="440" w:lineRule="exact"/>
        <w:ind w:firstLine="420" w:firstLineChars="200"/>
        <w:jc w:val="left"/>
        <w:rPr>
          <w:rFonts w:ascii="宋体" w:hAnsi="宋体" w:eastAsia="宋体" w:cs="宋体"/>
          <w:b w:val="0"/>
          <w:color w:val="auto"/>
          <w:kern w:val="0"/>
          <w:sz w:val="21"/>
          <w:szCs w:val="21"/>
          <w:highlight w:val="none"/>
        </w:rPr>
      </w:pPr>
      <w:bookmarkStart w:id="32" w:name="_Toc498"/>
      <w:r>
        <w:rPr>
          <w:rFonts w:hint="eastAsia" w:ascii="宋体" w:hAnsi="宋体" w:eastAsia="宋体" w:cs="宋体"/>
          <w:b w:val="0"/>
          <w:color w:val="auto"/>
          <w:kern w:val="0"/>
          <w:sz w:val="21"/>
          <w:szCs w:val="21"/>
          <w:highlight w:val="none"/>
        </w:rPr>
        <w:t>售价：0元</w:t>
      </w:r>
      <w:bookmarkEnd w:id="32"/>
    </w:p>
    <w:p w14:paraId="3B4EA50D">
      <w:pPr>
        <w:spacing w:before="162" w:beforeLines="50" w:after="162" w:afterLines="50" w:line="440" w:lineRule="exact"/>
        <w:jc w:val="left"/>
        <w:outlineLvl w:val="1"/>
        <w:rPr>
          <w:rFonts w:ascii="黑体" w:hAnsi="黑体" w:eastAsia="黑体" w:cs="黑体"/>
          <w:b/>
          <w:bCs/>
          <w:color w:val="auto"/>
          <w:szCs w:val="21"/>
          <w:highlight w:val="none"/>
        </w:rPr>
      </w:pPr>
      <w:bookmarkStart w:id="33" w:name="_Toc27215"/>
      <w:r>
        <w:rPr>
          <w:rFonts w:hint="eastAsia" w:ascii="黑体" w:hAnsi="黑体" w:eastAsia="黑体" w:cs="黑体"/>
          <w:b/>
          <w:bCs/>
          <w:color w:val="auto"/>
          <w:szCs w:val="21"/>
          <w:highlight w:val="none"/>
        </w:rPr>
        <w:t>四、提交投标文件截止时间、开标时间和地点</w:t>
      </w:r>
      <w:bookmarkEnd w:id="33"/>
    </w:p>
    <w:p w14:paraId="531ECA00">
      <w:pPr>
        <w:pStyle w:val="3"/>
        <w:adjustRightInd w:val="0"/>
        <w:spacing w:before="0" w:after="0" w:line="440" w:lineRule="exact"/>
        <w:ind w:firstLine="422" w:firstLineChars="200"/>
        <w:jc w:val="left"/>
        <w:rPr>
          <w:rFonts w:ascii="宋体" w:hAnsi="宋体" w:eastAsia="宋体" w:cs="宋体"/>
          <w:b w:val="0"/>
          <w:color w:val="auto"/>
          <w:kern w:val="0"/>
          <w:sz w:val="21"/>
          <w:szCs w:val="21"/>
          <w:highlight w:val="none"/>
        </w:rPr>
      </w:pPr>
      <w:bookmarkStart w:id="34" w:name="_Toc8687"/>
      <w:r>
        <w:rPr>
          <w:rFonts w:hint="eastAsia" w:ascii="宋体" w:hAnsi="宋体" w:eastAsia="宋体" w:cs="宋体"/>
          <w:bCs w:val="0"/>
          <w:color w:val="auto"/>
          <w:kern w:val="0"/>
          <w:sz w:val="21"/>
          <w:szCs w:val="21"/>
          <w:highlight w:val="none"/>
          <w:lang w:eastAsia="zh-CN"/>
        </w:rPr>
        <w:t>202</w:t>
      </w:r>
      <w:r>
        <w:rPr>
          <w:rFonts w:hint="eastAsia" w:ascii="宋体" w:hAnsi="宋体" w:eastAsia="宋体" w:cs="宋体"/>
          <w:bCs w:val="0"/>
          <w:color w:val="auto"/>
          <w:kern w:val="0"/>
          <w:sz w:val="21"/>
          <w:szCs w:val="21"/>
          <w:highlight w:val="none"/>
          <w:lang w:val="en-US" w:eastAsia="zh-CN"/>
        </w:rPr>
        <w:t>5</w:t>
      </w:r>
      <w:r>
        <w:rPr>
          <w:rFonts w:hint="eastAsia" w:ascii="宋体" w:hAnsi="宋体" w:eastAsia="宋体" w:cs="宋体"/>
          <w:bCs w:val="0"/>
          <w:color w:val="auto"/>
          <w:kern w:val="0"/>
          <w:sz w:val="21"/>
          <w:szCs w:val="21"/>
          <w:highlight w:val="none"/>
          <w:lang w:eastAsia="zh-CN"/>
        </w:rPr>
        <w:t>年</w:t>
      </w:r>
      <w:r>
        <w:rPr>
          <w:rFonts w:hint="eastAsia" w:ascii="宋体" w:hAnsi="宋体" w:eastAsia="宋体" w:cs="宋体"/>
          <w:bCs w:val="0"/>
          <w:color w:val="auto"/>
          <w:kern w:val="0"/>
          <w:sz w:val="21"/>
          <w:szCs w:val="21"/>
          <w:highlight w:val="none"/>
          <w:lang w:val="en-US" w:eastAsia="zh-CN"/>
        </w:rPr>
        <w:t>6</w:t>
      </w:r>
      <w:r>
        <w:rPr>
          <w:rFonts w:hint="eastAsia" w:ascii="宋体" w:hAnsi="宋体" w:eastAsia="宋体" w:cs="宋体"/>
          <w:bCs w:val="0"/>
          <w:color w:val="auto"/>
          <w:kern w:val="0"/>
          <w:sz w:val="21"/>
          <w:szCs w:val="21"/>
          <w:highlight w:val="none"/>
          <w:lang w:eastAsia="zh-CN"/>
        </w:rPr>
        <w:t>月</w:t>
      </w:r>
      <w:r>
        <w:rPr>
          <w:rFonts w:hint="eastAsia" w:ascii="宋体" w:hAnsi="宋体" w:eastAsia="宋体" w:cs="宋体"/>
          <w:bCs w:val="0"/>
          <w:color w:val="auto"/>
          <w:kern w:val="0"/>
          <w:sz w:val="21"/>
          <w:szCs w:val="21"/>
          <w:highlight w:val="none"/>
          <w:lang w:val="en-US" w:eastAsia="zh-CN"/>
        </w:rPr>
        <w:t>30</w:t>
      </w:r>
      <w:r>
        <w:rPr>
          <w:rFonts w:hint="eastAsia" w:ascii="宋体" w:hAnsi="宋体" w:eastAsia="宋体" w:cs="宋体"/>
          <w:bCs w:val="0"/>
          <w:color w:val="auto"/>
          <w:kern w:val="0"/>
          <w:sz w:val="21"/>
          <w:szCs w:val="21"/>
          <w:highlight w:val="none"/>
          <w:lang w:eastAsia="zh-CN"/>
        </w:rPr>
        <w:t>日</w:t>
      </w:r>
      <w:r>
        <w:rPr>
          <w:rFonts w:hint="eastAsia" w:ascii="宋体" w:hAnsi="宋体" w:eastAsia="宋体" w:cs="宋体"/>
          <w:bCs w:val="0"/>
          <w:color w:val="auto"/>
          <w:kern w:val="0"/>
          <w:sz w:val="21"/>
          <w:szCs w:val="21"/>
          <w:highlight w:val="none"/>
          <w:lang w:val="en-US" w:eastAsia="zh-CN"/>
        </w:rPr>
        <w:t>9</w:t>
      </w:r>
      <w:r>
        <w:rPr>
          <w:rFonts w:hint="eastAsia" w:ascii="宋体" w:hAnsi="宋体" w:eastAsia="宋体" w:cs="宋体"/>
          <w:bCs w:val="0"/>
          <w:color w:val="auto"/>
          <w:kern w:val="0"/>
          <w:sz w:val="21"/>
          <w:szCs w:val="21"/>
          <w:highlight w:val="none"/>
          <w:lang w:eastAsia="zh-CN"/>
        </w:rPr>
        <w:t>时00分</w:t>
      </w:r>
      <w:r>
        <w:rPr>
          <w:rFonts w:hint="eastAsia" w:ascii="宋体" w:hAnsi="宋体" w:eastAsia="宋体" w:cs="宋体"/>
          <w:bCs w:val="0"/>
          <w:color w:val="auto"/>
          <w:kern w:val="0"/>
          <w:sz w:val="21"/>
          <w:szCs w:val="21"/>
          <w:highlight w:val="none"/>
        </w:rPr>
        <w:t>（北京时间）</w:t>
      </w:r>
      <w:r>
        <w:rPr>
          <w:rFonts w:hint="eastAsia" w:ascii="宋体" w:hAnsi="宋体" w:eastAsia="宋体" w:cs="宋体"/>
          <w:b w:val="0"/>
          <w:color w:val="auto"/>
          <w:kern w:val="0"/>
          <w:sz w:val="21"/>
          <w:szCs w:val="21"/>
          <w:highlight w:val="none"/>
        </w:rPr>
        <w:t>（自采购文件开始发出之日起至投标供应商提交投标文件截止之日止，不得少于20日）</w:t>
      </w:r>
      <w:bookmarkEnd w:id="34"/>
    </w:p>
    <w:p w14:paraId="5F383984">
      <w:pPr>
        <w:pStyle w:val="3"/>
        <w:adjustRightInd w:val="0"/>
        <w:spacing w:before="0" w:after="0" w:line="440" w:lineRule="exact"/>
        <w:ind w:firstLine="420" w:firstLineChars="200"/>
        <w:jc w:val="left"/>
        <w:rPr>
          <w:rFonts w:ascii="宋体" w:hAnsi="宋体" w:eastAsia="宋体" w:cs="宋体"/>
          <w:b w:val="0"/>
          <w:color w:val="auto"/>
          <w:kern w:val="0"/>
          <w:sz w:val="21"/>
          <w:szCs w:val="21"/>
          <w:highlight w:val="none"/>
        </w:rPr>
      </w:pPr>
      <w:bookmarkStart w:id="35" w:name="_Toc18970"/>
      <w:r>
        <w:rPr>
          <w:rFonts w:hint="eastAsia" w:ascii="宋体" w:hAnsi="宋体" w:eastAsia="宋体" w:cs="宋体"/>
          <w:b w:val="0"/>
          <w:color w:val="auto"/>
          <w:kern w:val="0"/>
          <w:sz w:val="21"/>
          <w:szCs w:val="21"/>
          <w:highlight w:val="none"/>
        </w:rPr>
        <w:t>地点：滁州市丰乐大道1899号皖东国际车城A区写字楼A6栋3楼</w:t>
      </w:r>
      <w:bookmarkEnd w:id="35"/>
    </w:p>
    <w:p w14:paraId="0B035CCA">
      <w:pPr>
        <w:spacing w:before="162" w:beforeLines="50" w:after="162" w:afterLines="50" w:line="440" w:lineRule="exact"/>
        <w:jc w:val="left"/>
        <w:outlineLvl w:val="1"/>
        <w:rPr>
          <w:rFonts w:ascii="黑体" w:hAnsi="黑体" w:eastAsia="黑体" w:cs="黑体"/>
          <w:b/>
          <w:bCs/>
          <w:color w:val="auto"/>
          <w:szCs w:val="21"/>
          <w:highlight w:val="none"/>
        </w:rPr>
      </w:pPr>
      <w:bookmarkStart w:id="36" w:name="_Toc16611"/>
      <w:r>
        <w:rPr>
          <w:rFonts w:hint="eastAsia" w:ascii="黑体" w:hAnsi="黑体" w:eastAsia="黑体" w:cs="黑体"/>
          <w:b/>
          <w:bCs/>
          <w:color w:val="auto"/>
          <w:szCs w:val="21"/>
          <w:highlight w:val="none"/>
        </w:rPr>
        <w:t>五、公告期限</w:t>
      </w:r>
      <w:bookmarkEnd w:id="36"/>
    </w:p>
    <w:p w14:paraId="1B0B711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自本公告发布之日起5个工作日。</w:t>
      </w:r>
    </w:p>
    <w:p w14:paraId="20FDA884">
      <w:pPr>
        <w:spacing w:before="162" w:beforeLines="50" w:after="162" w:afterLines="50" w:line="440" w:lineRule="exact"/>
        <w:jc w:val="left"/>
        <w:outlineLvl w:val="1"/>
        <w:rPr>
          <w:rFonts w:ascii="黑体" w:hAnsi="黑体" w:eastAsia="黑体" w:cs="黑体"/>
          <w:b/>
          <w:bCs/>
          <w:color w:val="auto"/>
          <w:szCs w:val="21"/>
          <w:highlight w:val="none"/>
        </w:rPr>
      </w:pPr>
      <w:bookmarkStart w:id="37" w:name="_Toc14682"/>
      <w:r>
        <w:rPr>
          <w:rFonts w:hint="eastAsia" w:ascii="黑体" w:hAnsi="黑体" w:eastAsia="黑体" w:cs="黑体"/>
          <w:b/>
          <w:bCs/>
          <w:color w:val="auto"/>
          <w:szCs w:val="21"/>
          <w:highlight w:val="none"/>
        </w:rPr>
        <w:t>六、投标保证金金额及缴纳账户</w:t>
      </w:r>
      <w:bookmarkEnd w:id="37"/>
    </w:p>
    <w:p w14:paraId="3E3695C9">
      <w:pPr>
        <w:spacing w:line="440" w:lineRule="exact"/>
        <w:ind w:firstLine="420" w:firstLineChars="200"/>
        <w:jc w:val="left"/>
        <w:outlineLvl w:val="2"/>
        <w:rPr>
          <w:rFonts w:ascii="宋体" w:hAnsi="宋体" w:cs="宋体"/>
          <w:color w:val="auto"/>
          <w:szCs w:val="21"/>
          <w:highlight w:val="none"/>
        </w:rPr>
      </w:pPr>
      <w:bookmarkStart w:id="38" w:name="_Toc31095"/>
      <w:r>
        <w:rPr>
          <w:rFonts w:hint="eastAsia" w:ascii="宋体" w:hAnsi="宋体" w:cs="宋体"/>
          <w:color w:val="auto"/>
          <w:szCs w:val="21"/>
          <w:highlight w:val="none"/>
        </w:rPr>
        <w:t>1.是否要求投标供应商提交投标保证金：</w:t>
      </w:r>
      <w:bookmarkEnd w:id="38"/>
    </w:p>
    <w:p w14:paraId="4F1D24F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不要求，□要求。</w:t>
      </w:r>
    </w:p>
    <w:p w14:paraId="2C1F4B74">
      <w:pPr>
        <w:spacing w:before="162" w:beforeLines="50" w:after="162" w:afterLines="50" w:line="440" w:lineRule="exact"/>
        <w:jc w:val="left"/>
        <w:outlineLvl w:val="1"/>
        <w:rPr>
          <w:rFonts w:ascii="黑体" w:hAnsi="黑体" w:eastAsia="黑体" w:cs="黑体"/>
          <w:b/>
          <w:bCs/>
          <w:color w:val="auto"/>
          <w:szCs w:val="21"/>
          <w:highlight w:val="none"/>
        </w:rPr>
      </w:pPr>
      <w:bookmarkStart w:id="39" w:name="_Toc15560"/>
      <w:r>
        <w:rPr>
          <w:rFonts w:hint="eastAsia" w:ascii="黑体" w:hAnsi="黑体" w:eastAsia="黑体" w:cs="黑体"/>
          <w:b/>
          <w:bCs/>
          <w:color w:val="auto"/>
          <w:szCs w:val="21"/>
          <w:highlight w:val="none"/>
        </w:rPr>
        <w:t>七、联系方法</w:t>
      </w:r>
      <w:bookmarkEnd w:id="39"/>
    </w:p>
    <w:p w14:paraId="479E7E6D">
      <w:pPr>
        <w:pStyle w:val="8"/>
        <w:spacing w:line="440" w:lineRule="exact"/>
        <w:ind w:firstLine="420" w:firstLineChars="200"/>
        <w:jc w:val="left"/>
        <w:outlineLvl w:val="2"/>
        <w:rPr>
          <w:rFonts w:ascii="宋体" w:hAnsi="宋体" w:cs="宋体"/>
          <w:b w:val="0"/>
          <w:color w:val="auto"/>
          <w:sz w:val="21"/>
          <w:szCs w:val="21"/>
          <w:highlight w:val="none"/>
        </w:rPr>
      </w:pPr>
      <w:bookmarkStart w:id="40" w:name="_Toc10057"/>
      <w:bookmarkStart w:id="182" w:name="_GoBack"/>
      <w:r>
        <w:rPr>
          <w:rFonts w:hint="eastAsia" w:ascii="宋体" w:hAnsi="宋体" w:cs="宋体"/>
          <w:b w:val="0"/>
          <w:color w:val="auto"/>
          <w:sz w:val="21"/>
          <w:szCs w:val="21"/>
          <w:highlight w:val="none"/>
        </w:rPr>
        <w:t>1、项目单位：资产与实验室管理处</w:t>
      </w:r>
      <w:bookmarkEnd w:id="40"/>
      <w:r>
        <w:rPr>
          <w:rFonts w:hint="eastAsia" w:ascii="宋体" w:hAnsi="宋体" w:cs="宋体"/>
          <w:b w:val="0"/>
          <w:color w:val="auto"/>
          <w:sz w:val="21"/>
          <w:szCs w:val="21"/>
          <w:highlight w:val="none"/>
        </w:rPr>
        <w:t xml:space="preserve"> </w:t>
      </w:r>
    </w:p>
    <w:p w14:paraId="2664FAE9">
      <w:pPr>
        <w:pStyle w:val="8"/>
        <w:spacing w:line="440" w:lineRule="exact"/>
        <w:ind w:firstLine="420" w:firstLineChars="20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地址：安徽省滁州市会峰西路1号滁州学院会峰校区 </w:t>
      </w:r>
    </w:p>
    <w:p w14:paraId="0AFA71EC">
      <w:pPr>
        <w:pStyle w:val="8"/>
        <w:spacing w:line="440" w:lineRule="exact"/>
        <w:ind w:firstLine="420" w:firstLineChars="200"/>
        <w:jc w:val="left"/>
        <w:rPr>
          <w:rFonts w:hint="eastAsia" w:ascii="宋体" w:hAnsi="宋体" w:eastAsia="宋体" w:cs="宋体"/>
          <w:b w:val="0"/>
          <w:color w:val="auto"/>
          <w:sz w:val="21"/>
          <w:szCs w:val="21"/>
          <w:highlight w:val="none"/>
          <w:lang w:eastAsia="zh-CN"/>
        </w:rPr>
      </w:pPr>
      <w:r>
        <w:rPr>
          <w:rFonts w:hint="eastAsia" w:ascii="宋体" w:hAnsi="宋体" w:cs="宋体"/>
          <w:b w:val="0"/>
          <w:color w:val="auto"/>
          <w:sz w:val="21"/>
          <w:szCs w:val="21"/>
          <w:highlight w:val="none"/>
        </w:rPr>
        <w:t>采购联系人：</w:t>
      </w:r>
      <w:r>
        <w:rPr>
          <w:rFonts w:hint="eastAsia" w:ascii="宋体" w:hAnsi="宋体" w:cs="宋体"/>
          <w:b w:val="0"/>
          <w:color w:val="auto"/>
          <w:sz w:val="21"/>
          <w:szCs w:val="21"/>
          <w:highlight w:val="none"/>
          <w:lang w:eastAsia="zh-CN"/>
        </w:rPr>
        <w:t>李</w:t>
      </w:r>
      <w:r>
        <w:rPr>
          <w:rFonts w:hint="eastAsia" w:ascii="宋体" w:hAnsi="宋体" w:cs="宋体"/>
          <w:b w:val="0"/>
          <w:color w:val="auto"/>
          <w:sz w:val="21"/>
          <w:szCs w:val="21"/>
          <w:highlight w:val="none"/>
        </w:rPr>
        <w:t>老师、</w:t>
      </w:r>
      <w:r>
        <w:rPr>
          <w:rFonts w:hint="eastAsia" w:ascii="宋体" w:hAnsi="宋体" w:cs="宋体"/>
          <w:b w:val="0"/>
          <w:color w:val="auto"/>
          <w:sz w:val="21"/>
          <w:szCs w:val="21"/>
          <w:highlight w:val="none"/>
          <w:lang w:val="en-US" w:eastAsia="zh-CN"/>
        </w:rPr>
        <w:t xml:space="preserve"> 刘老师</w:t>
      </w:r>
    </w:p>
    <w:p w14:paraId="44F123D4">
      <w:pPr>
        <w:pStyle w:val="8"/>
        <w:spacing w:line="440" w:lineRule="exact"/>
        <w:ind w:firstLine="420" w:firstLineChars="20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电话：0550-3512003、18855576413</w:t>
      </w:r>
      <w:r>
        <w:rPr>
          <w:rFonts w:hint="eastAsia" w:ascii="宋体" w:hAnsi="宋体" w:cs="宋体"/>
          <w:b w:val="0"/>
          <w:color w:val="auto"/>
          <w:sz w:val="21"/>
          <w:szCs w:val="21"/>
          <w:highlight w:val="none"/>
          <w:lang w:val="en-US" w:eastAsia="zh-CN"/>
        </w:rPr>
        <w:t xml:space="preserve"> </w:t>
      </w:r>
    </w:p>
    <w:p w14:paraId="71F86596">
      <w:pPr>
        <w:pStyle w:val="8"/>
        <w:spacing w:line="440" w:lineRule="exact"/>
        <w:ind w:firstLine="420" w:firstLineChars="200"/>
        <w:jc w:val="left"/>
        <w:outlineLvl w:val="2"/>
        <w:rPr>
          <w:rFonts w:ascii="宋体" w:hAnsi="宋体" w:cs="宋体"/>
          <w:b w:val="0"/>
          <w:color w:val="auto"/>
          <w:sz w:val="21"/>
          <w:szCs w:val="21"/>
          <w:highlight w:val="none"/>
        </w:rPr>
      </w:pPr>
      <w:bookmarkStart w:id="41" w:name="_Toc19481"/>
      <w:r>
        <w:rPr>
          <w:rFonts w:hint="eastAsia" w:ascii="宋体" w:hAnsi="宋体" w:cs="宋体"/>
          <w:b w:val="0"/>
          <w:color w:val="auto"/>
          <w:sz w:val="21"/>
          <w:szCs w:val="21"/>
          <w:highlight w:val="none"/>
        </w:rPr>
        <w:t>2、采购代理机构：安徽立地工程咨询有限公司</w:t>
      </w:r>
      <w:bookmarkEnd w:id="41"/>
    </w:p>
    <w:p w14:paraId="615E2912">
      <w:pPr>
        <w:pStyle w:val="8"/>
        <w:spacing w:line="440" w:lineRule="exact"/>
        <w:ind w:firstLine="420" w:firstLineChars="20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地址：滁州市丰乐大道1899号皖东国际车城A区写字楼A6栋3楼</w:t>
      </w:r>
    </w:p>
    <w:p w14:paraId="745A81DC">
      <w:pPr>
        <w:autoSpaceDE w:val="0"/>
        <w:autoSpaceDN w:val="0"/>
        <w:adjustRightIn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联系人：全晨曦、翁海玲</w:t>
      </w:r>
    </w:p>
    <w:p w14:paraId="4F34CB75">
      <w:pPr>
        <w:autoSpaceDE w:val="0"/>
        <w:autoSpaceDN w:val="0"/>
        <w:adjustRightIn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电话：18075270227、13965950189</w:t>
      </w:r>
    </w:p>
    <w:bookmarkEnd w:id="182"/>
    <w:p w14:paraId="376E2F21">
      <w:pPr>
        <w:spacing w:before="162" w:beforeLines="50" w:after="162" w:afterLines="50" w:line="440" w:lineRule="exact"/>
        <w:jc w:val="left"/>
        <w:outlineLvl w:val="1"/>
        <w:rPr>
          <w:rFonts w:ascii="黑体" w:hAnsi="黑体" w:eastAsia="黑体" w:cs="黑体"/>
          <w:b/>
          <w:bCs/>
          <w:color w:val="auto"/>
          <w:szCs w:val="21"/>
          <w:highlight w:val="none"/>
        </w:rPr>
      </w:pPr>
      <w:bookmarkStart w:id="42" w:name="_Toc27554"/>
      <w:r>
        <w:rPr>
          <w:rFonts w:hint="eastAsia" w:ascii="黑体" w:hAnsi="黑体" w:eastAsia="黑体" w:cs="黑体"/>
          <w:b/>
          <w:bCs/>
          <w:color w:val="auto"/>
          <w:szCs w:val="21"/>
          <w:highlight w:val="none"/>
        </w:rPr>
        <w:t>八、公告发布媒体</w:t>
      </w:r>
      <w:bookmarkEnd w:id="42"/>
    </w:p>
    <w:p w14:paraId="74E69E89">
      <w:pPr>
        <w:spacing w:line="440" w:lineRule="exact"/>
        <w:ind w:firstLine="420" w:firstLineChars="200"/>
        <w:jc w:val="left"/>
        <w:rPr>
          <w:rFonts w:ascii="宋体" w:hAnsi="宋体" w:cs="宋体"/>
          <w:color w:val="auto"/>
          <w:szCs w:val="21"/>
          <w:highlight w:val="none"/>
        </w:rPr>
        <w:sectPr>
          <w:headerReference r:id="rId3" w:type="default"/>
          <w:footerReference r:id="rId4" w:type="default"/>
          <w:pgSz w:w="11906" w:h="16838"/>
          <w:pgMar w:top="1134" w:right="1417" w:bottom="1134" w:left="1417" w:header="850" w:footer="992" w:gutter="0"/>
          <w:pgNumType w:fmt="decimal"/>
          <w:cols w:space="720" w:num="1"/>
          <w:docGrid w:type="lines" w:linePitch="324" w:charSpace="0"/>
        </w:sectPr>
      </w:pPr>
      <w:r>
        <w:rPr>
          <w:rFonts w:hint="eastAsia" w:ascii="宋体" w:hAnsi="宋体" w:cs="宋体"/>
          <w:color w:val="auto"/>
          <w:szCs w:val="21"/>
          <w:highlight w:val="none"/>
        </w:rPr>
        <w:t>滁州学院网站、安徽省招标投标信息网</w:t>
      </w:r>
    </w:p>
    <w:bookmarkEnd w:id="26"/>
    <w:bookmarkEnd w:id="27"/>
    <w:bookmarkEnd w:id="28"/>
    <w:bookmarkEnd w:id="29"/>
    <w:p w14:paraId="052ECEDA">
      <w:pPr>
        <w:jc w:val="center"/>
        <w:outlineLvl w:val="0"/>
        <w:rPr>
          <w:rFonts w:ascii="宋体" w:hAnsi="宋体" w:cs="宋体"/>
          <w:b/>
          <w:color w:val="auto"/>
          <w:sz w:val="32"/>
          <w:highlight w:val="none"/>
        </w:rPr>
      </w:pPr>
      <w:bookmarkStart w:id="43" w:name="_Toc29256"/>
      <w:r>
        <w:rPr>
          <w:rFonts w:hint="eastAsia" w:ascii="宋体" w:hAnsi="宋体" w:cs="宋体"/>
          <w:b/>
          <w:color w:val="auto"/>
          <w:sz w:val="32"/>
          <w:highlight w:val="none"/>
        </w:rPr>
        <w:t>A、投标须知前附表</w:t>
      </w:r>
      <w:bookmarkEnd w:id="43"/>
    </w:p>
    <w:tbl>
      <w:tblPr>
        <w:tblStyle w:val="26"/>
        <w:tblW w:w="10118" w:type="dxa"/>
        <w:jc w:val="center"/>
        <w:tblLayout w:type="fixed"/>
        <w:tblCellMar>
          <w:top w:w="0" w:type="dxa"/>
          <w:left w:w="0" w:type="dxa"/>
          <w:bottom w:w="0" w:type="dxa"/>
          <w:right w:w="0" w:type="dxa"/>
        </w:tblCellMar>
      </w:tblPr>
      <w:tblGrid>
        <w:gridCol w:w="802"/>
        <w:gridCol w:w="1461"/>
        <w:gridCol w:w="7855"/>
      </w:tblGrid>
      <w:tr w14:paraId="7A50C620">
        <w:tblPrEx>
          <w:tblCellMar>
            <w:top w:w="0" w:type="dxa"/>
            <w:left w:w="0" w:type="dxa"/>
            <w:bottom w:w="0" w:type="dxa"/>
            <w:right w:w="0" w:type="dxa"/>
          </w:tblCellMar>
        </w:tblPrEx>
        <w:trPr>
          <w:trHeight w:val="276"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6FC247A0">
            <w:pPr>
              <w:spacing w:line="44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编号</w:t>
            </w:r>
          </w:p>
        </w:tc>
        <w:tc>
          <w:tcPr>
            <w:tcW w:w="1461" w:type="dxa"/>
            <w:tcBorders>
              <w:top w:val="single" w:color="auto" w:sz="8" w:space="0"/>
              <w:left w:val="single" w:color="auto" w:sz="4" w:space="0"/>
              <w:bottom w:val="single" w:color="auto" w:sz="8" w:space="0"/>
              <w:right w:val="single" w:color="auto" w:sz="4" w:space="0"/>
            </w:tcBorders>
            <w:vAlign w:val="center"/>
          </w:tcPr>
          <w:p w14:paraId="0B42BB71">
            <w:pPr>
              <w:spacing w:line="44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855" w:type="dxa"/>
            <w:tcBorders>
              <w:top w:val="single" w:color="auto" w:sz="8" w:space="0"/>
              <w:left w:val="single" w:color="auto" w:sz="4" w:space="0"/>
              <w:bottom w:val="single" w:color="auto" w:sz="8" w:space="0"/>
              <w:right w:val="single" w:color="auto" w:sz="8" w:space="0"/>
            </w:tcBorders>
            <w:vAlign w:val="center"/>
          </w:tcPr>
          <w:p w14:paraId="1A1D8A56">
            <w:pPr>
              <w:spacing w:line="44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说明与要求</w:t>
            </w:r>
          </w:p>
        </w:tc>
      </w:tr>
      <w:tr w14:paraId="3A4A25DC">
        <w:tblPrEx>
          <w:tblCellMar>
            <w:top w:w="0" w:type="dxa"/>
            <w:left w:w="0" w:type="dxa"/>
            <w:bottom w:w="0" w:type="dxa"/>
            <w:right w:w="0" w:type="dxa"/>
          </w:tblCellMar>
        </w:tblPrEx>
        <w:trPr>
          <w:trHeight w:val="276"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07CDC55F">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61" w:type="dxa"/>
            <w:tcBorders>
              <w:top w:val="single" w:color="auto" w:sz="8" w:space="0"/>
              <w:left w:val="single" w:color="auto" w:sz="4" w:space="0"/>
              <w:bottom w:val="single" w:color="auto" w:sz="8" w:space="0"/>
              <w:right w:val="single" w:color="auto" w:sz="4" w:space="0"/>
            </w:tcBorders>
            <w:vAlign w:val="center"/>
          </w:tcPr>
          <w:p w14:paraId="7C1977D8">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7855" w:type="dxa"/>
            <w:tcBorders>
              <w:top w:val="single" w:color="auto" w:sz="8" w:space="0"/>
              <w:left w:val="single" w:color="auto" w:sz="4" w:space="0"/>
              <w:bottom w:val="single" w:color="auto" w:sz="8" w:space="0"/>
              <w:right w:val="single" w:color="auto" w:sz="8" w:space="0"/>
            </w:tcBorders>
            <w:vAlign w:val="center"/>
          </w:tcPr>
          <w:p w14:paraId="78178B5B">
            <w:pPr>
              <w:spacing w:line="440" w:lineRule="exact"/>
              <w:rPr>
                <w:rFonts w:ascii="宋体" w:hAnsi="宋体" w:cs="宋体"/>
                <w:color w:val="auto"/>
                <w:kern w:val="0"/>
                <w:szCs w:val="21"/>
                <w:highlight w:val="none"/>
              </w:rPr>
            </w:pPr>
            <w:r>
              <w:rPr>
                <w:rFonts w:hint="eastAsia" w:ascii="宋体" w:hAnsi="宋体" w:cs="宋体"/>
                <w:color w:val="auto"/>
                <w:szCs w:val="21"/>
                <w:highlight w:val="none"/>
                <w:lang w:eastAsia="zh-CN"/>
              </w:rPr>
              <w:t>滁州学院2025年人工智能学院行政办公家具采购项目</w:t>
            </w:r>
            <w:r>
              <w:rPr>
                <w:rFonts w:hint="eastAsia" w:ascii="宋体" w:hAnsi="宋体" w:cs="宋体"/>
                <w:color w:val="auto"/>
                <w:szCs w:val="21"/>
                <w:highlight w:val="none"/>
              </w:rPr>
              <w:t xml:space="preserve">    </w:t>
            </w:r>
          </w:p>
        </w:tc>
      </w:tr>
      <w:tr w14:paraId="7DF7EE4F">
        <w:tblPrEx>
          <w:tblCellMar>
            <w:top w:w="0" w:type="dxa"/>
            <w:left w:w="0" w:type="dxa"/>
            <w:bottom w:w="0" w:type="dxa"/>
            <w:right w:w="0" w:type="dxa"/>
          </w:tblCellMar>
        </w:tblPrEx>
        <w:trPr>
          <w:trHeight w:val="276"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499B2FE1">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61" w:type="dxa"/>
            <w:tcBorders>
              <w:top w:val="single" w:color="auto" w:sz="8" w:space="0"/>
              <w:left w:val="single" w:color="auto" w:sz="4" w:space="0"/>
              <w:bottom w:val="single" w:color="auto" w:sz="8" w:space="0"/>
              <w:right w:val="single" w:color="auto" w:sz="4" w:space="0"/>
            </w:tcBorders>
            <w:vAlign w:val="center"/>
          </w:tcPr>
          <w:p w14:paraId="6188A51A">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7855" w:type="dxa"/>
            <w:tcBorders>
              <w:top w:val="single" w:color="auto" w:sz="8" w:space="0"/>
              <w:left w:val="single" w:color="auto" w:sz="4" w:space="0"/>
              <w:bottom w:val="single" w:color="auto" w:sz="8" w:space="0"/>
              <w:right w:val="single" w:color="auto" w:sz="8" w:space="0"/>
            </w:tcBorders>
            <w:vAlign w:val="center"/>
          </w:tcPr>
          <w:p w14:paraId="5232B288">
            <w:pPr>
              <w:spacing w:line="44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2025CG-037</w:t>
            </w:r>
          </w:p>
        </w:tc>
      </w:tr>
      <w:tr w14:paraId="749F05AB">
        <w:tblPrEx>
          <w:tblCellMar>
            <w:top w:w="0" w:type="dxa"/>
            <w:left w:w="0" w:type="dxa"/>
            <w:bottom w:w="0" w:type="dxa"/>
            <w:right w:w="0" w:type="dxa"/>
          </w:tblCellMar>
        </w:tblPrEx>
        <w:trPr>
          <w:trHeight w:val="276"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2B7E43E9">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61" w:type="dxa"/>
            <w:tcBorders>
              <w:top w:val="single" w:color="auto" w:sz="8" w:space="0"/>
              <w:left w:val="single" w:color="auto" w:sz="4" w:space="0"/>
              <w:bottom w:val="single" w:color="auto" w:sz="8" w:space="0"/>
              <w:right w:val="single" w:color="auto" w:sz="4" w:space="0"/>
            </w:tcBorders>
            <w:vAlign w:val="center"/>
          </w:tcPr>
          <w:p w14:paraId="26001B30">
            <w:pPr>
              <w:pStyle w:val="13"/>
              <w:wordWrap w:val="0"/>
              <w:spacing w:line="440" w:lineRule="exact"/>
              <w:jc w:val="center"/>
              <w:rPr>
                <w:rFonts w:hAnsi="宋体" w:cs="宋体"/>
                <w:color w:val="auto"/>
                <w:kern w:val="0"/>
                <w:szCs w:val="21"/>
                <w:highlight w:val="none"/>
              </w:rPr>
            </w:pPr>
            <w:r>
              <w:rPr>
                <w:rFonts w:hint="eastAsia" w:hAnsi="宋体" w:cs="宋体"/>
                <w:color w:val="auto"/>
                <w:szCs w:val="21"/>
                <w:highlight w:val="none"/>
              </w:rPr>
              <w:t>服务期限</w:t>
            </w:r>
          </w:p>
        </w:tc>
        <w:tc>
          <w:tcPr>
            <w:tcW w:w="7855" w:type="dxa"/>
            <w:tcBorders>
              <w:top w:val="single" w:color="auto" w:sz="8" w:space="0"/>
              <w:left w:val="single" w:color="auto" w:sz="4" w:space="0"/>
              <w:bottom w:val="single" w:color="auto" w:sz="8" w:space="0"/>
              <w:right w:val="single" w:color="auto" w:sz="8" w:space="0"/>
            </w:tcBorders>
            <w:vAlign w:val="center"/>
          </w:tcPr>
          <w:p w14:paraId="6D1FB63C">
            <w:pP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合同签订后15个日历天供货安装完毕。</w:t>
            </w:r>
          </w:p>
          <w:p w14:paraId="069E90AB">
            <w:pPr>
              <w:spacing w:line="440" w:lineRule="exact"/>
              <w:jc w:val="left"/>
              <w:rPr>
                <w:rFonts w:hint="eastAsia" w:ascii="宋体" w:hAnsi="宋体" w:cs="宋体"/>
                <w:color w:val="auto"/>
                <w:szCs w:val="21"/>
                <w:highlight w:val="none"/>
              </w:rPr>
            </w:pPr>
            <w:r>
              <w:rPr>
                <w:rFonts w:hint="eastAsia" w:ascii="宋体" w:hAnsi="宋体"/>
                <w:color w:val="auto"/>
                <w:szCs w:val="21"/>
                <w:highlight w:val="none"/>
                <w:lang w:val="en-US" w:eastAsia="zh-CN"/>
              </w:rPr>
              <w:t>质保期：1年</w:t>
            </w:r>
          </w:p>
        </w:tc>
      </w:tr>
      <w:tr w14:paraId="781C2674">
        <w:tblPrEx>
          <w:tblCellMar>
            <w:top w:w="0" w:type="dxa"/>
            <w:left w:w="0" w:type="dxa"/>
            <w:bottom w:w="0" w:type="dxa"/>
            <w:right w:w="0" w:type="dxa"/>
          </w:tblCellMar>
        </w:tblPrEx>
        <w:trPr>
          <w:trHeight w:val="276"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13A9644A">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461" w:type="dxa"/>
            <w:tcBorders>
              <w:top w:val="single" w:color="auto" w:sz="8" w:space="0"/>
              <w:left w:val="single" w:color="auto" w:sz="4" w:space="0"/>
              <w:bottom w:val="single" w:color="auto" w:sz="8" w:space="0"/>
              <w:right w:val="single" w:color="auto" w:sz="4" w:space="0"/>
            </w:tcBorders>
            <w:vAlign w:val="center"/>
          </w:tcPr>
          <w:p w14:paraId="169CB4F1">
            <w:pPr>
              <w:pStyle w:val="13"/>
              <w:wordWrap w:val="0"/>
              <w:spacing w:line="440" w:lineRule="exact"/>
              <w:jc w:val="center"/>
              <w:rPr>
                <w:rFonts w:hAnsi="宋体" w:cs="宋体"/>
                <w:color w:val="auto"/>
                <w:kern w:val="0"/>
                <w:szCs w:val="21"/>
                <w:highlight w:val="none"/>
              </w:rPr>
            </w:pPr>
            <w:r>
              <w:rPr>
                <w:rFonts w:hint="eastAsia" w:hAnsi="宋体" w:cs="宋体"/>
                <w:color w:val="auto"/>
                <w:szCs w:val="21"/>
                <w:highlight w:val="none"/>
              </w:rPr>
              <w:t>服务地点</w:t>
            </w:r>
          </w:p>
        </w:tc>
        <w:tc>
          <w:tcPr>
            <w:tcW w:w="7855" w:type="dxa"/>
            <w:tcBorders>
              <w:top w:val="single" w:color="auto" w:sz="8" w:space="0"/>
              <w:left w:val="single" w:color="auto" w:sz="4" w:space="0"/>
              <w:bottom w:val="single" w:color="auto" w:sz="8" w:space="0"/>
              <w:right w:val="single" w:color="auto" w:sz="8" w:space="0"/>
            </w:tcBorders>
            <w:vAlign w:val="center"/>
          </w:tcPr>
          <w:p w14:paraId="14D630D5">
            <w:pPr>
              <w:wordWrap w:val="0"/>
              <w:spacing w:line="440" w:lineRule="exact"/>
              <w:rPr>
                <w:rFonts w:ascii="宋体" w:hAnsi="宋体" w:cs="宋体"/>
                <w:color w:val="auto"/>
                <w:szCs w:val="21"/>
                <w:highlight w:val="none"/>
              </w:rPr>
            </w:pPr>
            <w:r>
              <w:rPr>
                <w:rFonts w:hint="eastAsia" w:ascii="宋体" w:hAnsi="宋体" w:cs="宋体"/>
                <w:color w:val="auto"/>
                <w:szCs w:val="21"/>
                <w:highlight w:val="none"/>
              </w:rPr>
              <w:t>滁州学院，采购人指定地点</w:t>
            </w:r>
          </w:p>
        </w:tc>
      </w:tr>
      <w:tr w14:paraId="6ADF03DB">
        <w:tblPrEx>
          <w:tblCellMar>
            <w:top w:w="0" w:type="dxa"/>
            <w:left w:w="0" w:type="dxa"/>
            <w:bottom w:w="0" w:type="dxa"/>
            <w:right w:w="0" w:type="dxa"/>
          </w:tblCellMar>
        </w:tblPrEx>
        <w:trPr>
          <w:trHeight w:val="1341"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6AFC307E">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461" w:type="dxa"/>
            <w:tcBorders>
              <w:top w:val="single" w:color="auto" w:sz="8" w:space="0"/>
              <w:left w:val="single" w:color="auto" w:sz="4" w:space="0"/>
              <w:bottom w:val="single" w:color="auto" w:sz="8" w:space="0"/>
              <w:right w:val="single" w:color="auto" w:sz="4" w:space="0"/>
            </w:tcBorders>
            <w:vAlign w:val="center"/>
          </w:tcPr>
          <w:p w14:paraId="67DD3174">
            <w:pPr>
              <w:pStyle w:val="13"/>
              <w:wordWrap w:val="0"/>
              <w:spacing w:line="440" w:lineRule="exact"/>
              <w:jc w:val="center"/>
              <w:rPr>
                <w:rFonts w:hAnsi="宋体" w:cs="宋体"/>
                <w:color w:val="auto"/>
                <w:kern w:val="0"/>
                <w:szCs w:val="21"/>
                <w:highlight w:val="none"/>
              </w:rPr>
            </w:pPr>
            <w:r>
              <w:rPr>
                <w:rFonts w:hint="eastAsia" w:hAnsi="宋体" w:cs="宋体"/>
                <w:color w:val="auto"/>
                <w:szCs w:val="21"/>
                <w:highlight w:val="none"/>
              </w:rPr>
              <w:t>采购人联系人及电话</w:t>
            </w:r>
          </w:p>
        </w:tc>
        <w:tc>
          <w:tcPr>
            <w:tcW w:w="7855" w:type="dxa"/>
            <w:tcBorders>
              <w:top w:val="single" w:color="auto" w:sz="8" w:space="0"/>
              <w:left w:val="single" w:color="auto" w:sz="4" w:space="0"/>
              <w:bottom w:val="single" w:color="auto" w:sz="8" w:space="0"/>
              <w:right w:val="single" w:color="auto" w:sz="8" w:space="0"/>
            </w:tcBorders>
            <w:vAlign w:val="center"/>
          </w:tcPr>
          <w:p w14:paraId="2BBF2DB2">
            <w:pPr>
              <w:pStyle w:val="13"/>
              <w:wordWrap w:val="0"/>
              <w:spacing w:line="440" w:lineRule="exact"/>
              <w:rPr>
                <w:rFonts w:hAnsi="宋体" w:cs="宋体"/>
                <w:color w:val="auto"/>
                <w:szCs w:val="21"/>
                <w:highlight w:val="none"/>
              </w:rPr>
            </w:pPr>
            <w:r>
              <w:rPr>
                <w:rFonts w:hint="eastAsia" w:hAnsi="宋体" w:cs="宋体"/>
                <w:color w:val="auto"/>
                <w:szCs w:val="21"/>
                <w:highlight w:val="none"/>
              </w:rPr>
              <w:t>采购人名称：资产与实验室管理处</w:t>
            </w:r>
          </w:p>
          <w:p w14:paraId="6048D77C">
            <w:pPr>
              <w:pStyle w:val="13"/>
              <w:wordWrap w:val="0"/>
              <w:spacing w:line="440" w:lineRule="exact"/>
              <w:rPr>
                <w:rFonts w:hint="eastAsia" w:hAnsi="宋体" w:eastAsia="宋体" w:cs="宋体"/>
                <w:color w:val="auto"/>
                <w:szCs w:val="21"/>
                <w:highlight w:val="none"/>
                <w:lang w:eastAsia="zh-CN"/>
              </w:rPr>
            </w:pPr>
            <w:r>
              <w:rPr>
                <w:rFonts w:hint="eastAsia" w:hAnsi="宋体" w:cs="宋体"/>
                <w:color w:val="auto"/>
                <w:szCs w:val="21"/>
                <w:highlight w:val="none"/>
              </w:rPr>
              <w:t>联系人：</w:t>
            </w:r>
            <w:r>
              <w:rPr>
                <w:rFonts w:hint="eastAsia" w:hAnsi="宋体" w:cs="宋体"/>
                <w:color w:val="auto"/>
                <w:szCs w:val="21"/>
                <w:highlight w:val="none"/>
                <w:lang w:val="en-US" w:eastAsia="zh-CN"/>
              </w:rPr>
              <w:t>李</w:t>
            </w:r>
            <w:r>
              <w:rPr>
                <w:rFonts w:hint="eastAsia" w:hAnsi="宋体" w:cs="宋体"/>
                <w:color w:val="auto"/>
                <w:szCs w:val="21"/>
                <w:highlight w:val="none"/>
              </w:rPr>
              <w:t>老师、</w:t>
            </w:r>
            <w:r>
              <w:rPr>
                <w:rFonts w:hint="eastAsia" w:hAnsi="宋体" w:cs="宋体"/>
                <w:color w:val="auto"/>
                <w:szCs w:val="21"/>
                <w:highlight w:val="none"/>
                <w:lang w:eastAsia="zh-CN"/>
              </w:rPr>
              <w:t>刘老师</w:t>
            </w:r>
            <w:r>
              <w:rPr>
                <w:rFonts w:hint="eastAsia" w:hAnsi="宋体" w:cs="宋体"/>
                <w:color w:val="auto"/>
                <w:szCs w:val="21"/>
                <w:highlight w:val="none"/>
                <w:lang w:val="en-US" w:eastAsia="zh-CN"/>
              </w:rPr>
              <w:t xml:space="preserve"> </w:t>
            </w:r>
          </w:p>
          <w:p w14:paraId="657F975F">
            <w:pPr>
              <w:pStyle w:val="13"/>
              <w:wordWrap w:val="0"/>
              <w:spacing w:line="440" w:lineRule="exact"/>
              <w:rPr>
                <w:rFonts w:hAnsi="宋体" w:cs="宋体"/>
                <w:color w:val="auto"/>
                <w:szCs w:val="21"/>
                <w:highlight w:val="none"/>
              </w:rPr>
            </w:pPr>
            <w:r>
              <w:rPr>
                <w:rFonts w:hint="eastAsia" w:hAnsi="宋体" w:cs="宋体"/>
                <w:color w:val="auto"/>
                <w:szCs w:val="21"/>
                <w:highlight w:val="none"/>
              </w:rPr>
              <w:t>电话：0550-3512003、18855576413</w:t>
            </w:r>
            <w:r>
              <w:rPr>
                <w:rFonts w:hint="eastAsia" w:hAnsi="宋体" w:cs="宋体"/>
                <w:color w:val="auto"/>
                <w:szCs w:val="21"/>
                <w:highlight w:val="none"/>
                <w:lang w:val="en-US" w:eastAsia="zh-CN"/>
              </w:rPr>
              <w:t xml:space="preserve"> </w:t>
            </w:r>
          </w:p>
        </w:tc>
      </w:tr>
      <w:tr w14:paraId="4A225B7E">
        <w:tblPrEx>
          <w:tblCellMar>
            <w:top w:w="0" w:type="dxa"/>
            <w:left w:w="0" w:type="dxa"/>
            <w:bottom w:w="0" w:type="dxa"/>
            <w:right w:w="0" w:type="dxa"/>
          </w:tblCellMar>
        </w:tblPrEx>
        <w:trPr>
          <w:trHeight w:val="980"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08A3DB6D">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461" w:type="dxa"/>
            <w:tcBorders>
              <w:top w:val="single" w:color="auto" w:sz="8" w:space="0"/>
              <w:left w:val="single" w:color="auto" w:sz="4" w:space="0"/>
              <w:bottom w:val="single" w:color="auto" w:sz="8" w:space="0"/>
              <w:right w:val="single" w:color="auto" w:sz="4" w:space="0"/>
            </w:tcBorders>
            <w:vAlign w:val="center"/>
          </w:tcPr>
          <w:p w14:paraId="1125A99C">
            <w:pPr>
              <w:pStyle w:val="13"/>
              <w:wordWrap w:val="0"/>
              <w:spacing w:line="440" w:lineRule="exact"/>
              <w:jc w:val="center"/>
              <w:rPr>
                <w:rFonts w:hAnsi="宋体" w:cs="宋体"/>
                <w:color w:val="auto"/>
                <w:kern w:val="0"/>
                <w:szCs w:val="21"/>
                <w:highlight w:val="none"/>
              </w:rPr>
            </w:pPr>
            <w:r>
              <w:rPr>
                <w:rFonts w:hint="eastAsia" w:hAnsi="宋体" w:cs="宋体"/>
                <w:color w:val="auto"/>
                <w:szCs w:val="21"/>
                <w:highlight w:val="none"/>
              </w:rPr>
              <w:t>代理机构联系人及电话</w:t>
            </w:r>
          </w:p>
        </w:tc>
        <w:tc>
          <w:tcPr>
            <w:tcW w:w="7855" w:type="dxa"/>
            <w:tcBorders>
              <w:top w:val="single" w:color="auto" w:sz="8" w:space="0"/>
              <w:left w:val="single" w:color="auto" w:sz="4" w:space="0"/>
              <w:bottom w:val="single" w:color="auto" w:sz="8" w:space="0"/>
              <w:right w:val="single" w:color="auto" w:sz="8" w:space="0"/>
            </w:tcBorders>
            <w:vAlign w:val="center"/>
          </w:tcPr>
          <w:p w14:paraId="6CE8844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 xml:space="preserve">招标代理机构名称：安徽立地工程咨询有限公司 </w:t>
            </w:r>
          </w:p>
          <w:p w14:paraId="49F46EA7">
            <w:pPr>
              <w:autoSpaceDE w:val="0"/>
              <w:autoSpaceDN w:val="0"/>
              <w:adjustRightIn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 xml:space="preserve">联系人：全晨曦、翁海玲 </w:t>
            </w:r>
          </w:p>
          <w:p w14:paraId="2F28C535">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szCs w:val="21"/>
                <w:highlight w:val="none"/>
              </w:rPr>
              <w:t>电话：18075270227、13965950189</w:t>
            </w:r>
          </w:p>
        </w:tc>
      </w:tr>
      <w:tr w14:paraId="13686B58">
        <w:tblPrEx>
          <w:tblCellMar>
            <w:top w:w="0" w:type="dxa"/>
            <w:left w:w="0" w:type="dxa"/>
            <w:bottom w:w="0" w:type="dxa"/>
            <w:right w:w="0" w:type="dxa"/>
          </w:tblCellMar>
        </w:tblPrEx>
        <w:trPr>
          <w:trHeight w:val="447"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231CD76D">
            <w:pPr>
              <w:pStyle w:val="25"/>
              <w:spacing w:line="440" w:lineRule="exact"/>
              <w:ind w:firstLine="0" w:firstLineChars="0"/>
              <w:jc w:val="center"/>
              <w:rPr>
                <w:rFonts w:hAnsi="宋体" w:cs="宋体"/>
                <w:color w:val="auto"/>
                <w:kern w:val="0"/>
                <w:sz w:val="21"/>
                <w:szCs w:val="21"/>
                <w:highlight w:val="none"/>
              </w:rPr>
            </w:pPr>
            <w:r>
              <w:rPr>
                <w:rFonts w:hint="eastAsia" w:hAnsi="宋体" w:cs="宋体"/>
                <w:color w:val="auto"/>
                <w:kern w:val="0"/>
                <w:sz w:val="21"/>
                <w:szCs w:val="21"/>
                <w:highlight w:val="none"/>
              </w:rPr>
              <w:t>7</w:t>
            </w:r>
          </w:p>
        </w:tc>
        <w:tc>
          <w:tcPr>
            <w:tcW w:w="1461" w:type="dxa"/>
            <w:tcBorders>
              <w:top w:val="single" w:color="auto" w:sz="8" w:space="0"/>
              <w:left w:val="single" w:color="auto" w:sz="4" w:space="0"/>
              <w:bottom w:val="single" w:color="auto" w:sz="8" w:space="0"/>
              <w:right w:val="single" w:color="auto" w:sz="4" w:space="0"/>
            </w:tcBorders>
            <w:vAlign w:val="center"/>
          </w:tcPr>
          <w:p w14:paraId="24814498">
            <w:pPr>
              <w:pStyle w:val="13"/>
              <w:wordWrap w:val="0"/>
              <w:spacing w:line="440" w:lineRule="exact"/>
              <w:jc w:val="center"/>
              <w:rPr>
                <w:rFonts w:hAnsi="宋体" w:cs="宋体"/>
                <w:color w:val="auto"/>
                <w:szCs w:val="21"/>
                <w:highlight w:val="none"/>
              </w:rPr>
            </w:pPr>
            <w:r>
              <w:rPr>
                <w:rFonts w:hint="eastAsia" w:hAnsi="宋体" w:cs="宋体"/>
                <w:color w:val="auto"/>
                <w:szCs w:val="21"/>
                <w:highlight w:val="none"/>
              </w:rPr>
              <w:t>资金来源</w:t>
            </w:r>
          </w:p>
        </w:tc>
        <w:tc>
          <w:tcPr>
            <w:tcW w:w="7855" w:type="dxa"/>
            <w:tcBorders>
              <w:top w:val="single" w:color="auto" w:sz="8" w:space="0"/>
              <w:left w:val="single" w:color="auto" w:sz="4" w:space="0"/>
              <w:bottom w:val="single" w:color="auto" w:sz="8" w:space="0"/>
              <w:right w:val="single" w:color="auto" w:sz="8" w:space="0"/>
            </w:tcBorders>
            <w:vAlign w:val="center"/>
          </w:tcPr>
          <w:p w14:paraId="0E314673">
            <w:pPr>
              <w:pStyle w:val="13"/>
              <w:wordWrap w:val="0"/>
              <w:spacing w:line="440" w:lineRule="exact"/>
              <w:rPr>
                <w:rFonts w:hAnsi="宋体" w:cs="宋体"/>
                <w:color w:val="auto"/>
                <w:szCs w:val="21"/>
                <w:highlight w:val="none"/>
              </w:rPr>
            </w:pPr>
            <w:r>
              <w:rPr>
                <w:rFonts w:hint="eastAsia" w:hAnsi="宋体" w:cs="宋体"/>
                <w:color w:val="auto"/>
                <w:szCs w:val="21"/>
                <w:highlight w:val="none"/>
              </w:rPr>
              <w:t>财政资金</w:t>
            </w:r>
          </w:p>
        </w:tc>
      </w:tr>
      <w:tr w14:paraId="34CBC123">
        <w:tblPrEx>
          <w:tblCellMar>
            <w:top w:w="0" w:type="dxa"/>
            <w:left w:w="0" w:type="dxa"/>
            <w:bottom w:w="0" w:type="dxa"/>
            <w:right w:w="0" w:type="dxa"/>
          </w:tblCellMar>
        </w:tblPrEx>
        <w:trPr>
          <w:trHeight w:val="441"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27EABFF9">
            <w:pPr>
              <w:pStyle w:val="25"/>
              <w:spacing w:line="440" w:lineRule="exact"/>
              <w:ind w:firstLine="0" w:firstLineChars="0"/>
              <w:jc w:val="center"/>
              <w:rPr>
                <w:rFonts w:hAnsi="宋体" w:cs="宋体"/>
                <w:color w:val="auto"/>
                <w:kern w:val="0"/>
                <w:sz w:val="21"/>
                <w:szCs w:val="21"/>
                <w:highlight w:val="none"/>
              </w:rPr>
            </w:pPr>
            <w:r>
              <w:rPr>
                <w:rFonts w:hint="eastAsia" w:hAnsi="宋体" w:cs="宋体"/>
                <w:color w:val="auto"/>
                <w:kern w:val="0"/>
                <w:sz w:val="21"/>
                <w:szCs w:val="21"/>
                <w:highlight w:val="none"/>
              </w:rPr>
              <w:t>8</w:t>
            </w:r>
          </w:p>
        </w:tc>
        <w:tc>
          <w:tcPr>
            <w:tcW w:w="1461" w:type="dxa"/>
            <w:tcBorders>
              <w:top w:val="single" w:color="auto" w:sz="8" w:space="0"/>
              <w:left w:val="single" w:color="auto" w:sz="4" w:space="0"/>
              <w:bottom w:val="single" w:color="auto" w:sz="8" w:space="0"/>
              <w:right w:val="single" w:color="auto" w:sz="4" w:space="0"/>
            </w:tcBorders>
            <w:vAlign w:val="center"/>
          </w:tcPr>
          <w:p w14:paraId="73D3855A">
            <w:pPr>
              <w:pStyle w:val="13"/>
              <w:wordWrap w:val="0"/>
              <w:spacing w:line="440" w:lineRule="exact"/>
              <w:jc w:val="center"/>
              <w:rPr>
                <w:rFonts w:hAnsi="宋体" w:cs="宋体"/>
                <w:b/>
                <w:bCs/>
                <w:color w:val="auto"/>
                <w:szCs w:val="21"/>
                <w:highlight w:val="none"/>
              </w:rPr>
            </w:pPr>
            <w:r>
              <w:rPr>
                <w:rFonts w:hint="eastAsia" w:hAnsi="宋体" w:cs="宋体"/>
                <w:b/>
                <w:bCs/>
                <w:color w:val="auto"/>
                <w:szCs w:val="21"/>
                <w:highlight w:val="none"/>
              </w:rPr>
              <w:t>采购预算</w:t>
            </w:r>
          </w:p>
        </w:tc>
        <w:tc>
          <w:tcPr>
            <w:tcW w:w="7855" w:type="dxa"/>
            <w:tcBorders>
              <w:top w:val="single" w:color="auto" w:sz="8" w:space="0"/>
              <w:left w:val="single" w:color="auto" w:sz="4" w:space="0"/>
              <w:bottom w:val="single" w:color="auto" w:sz="8" w:space="0"/>
              <w:right w:val="single" w:color="auto" w:sz="8" w:space="0"/>
            </w:tcBorders>
            <w:vAlign w:val="center"/>
          </w:tcPr>
          <w:p w14:paraId="14AFBBFE">
            <w:pPr>
              <w:pStyle w:val="13"/>
              <w:wordWrap w:val="0"/>
              <w:spacing w:line="440" w:lineRule="exact"/>
              <w:rPr>
                <w:rFonts w:hAnsi="宋体" w:cs="宋体"/>
                <w:b/>
                <w:bCs/>
                <w:color w:val="auto"/>
                <w:szCs w:val="21"/>
                <w:highlight w:val="none"/>
              </w:rPr>
            </w:pPr>
            <w:r>
              <w:rPr>
                <w:rFonts w:hint="eastAsia" w:hAnsi="宋体" w:cs="宋体"/>
                <w:b/>
                <w:bCs/>
                <w:color w:val="auto"/>
                <w:szCs w:val="21"/>
                <w:highlight w:val="none"/>
                <w:lang w:val="en-US" w:eastAsia="zh-CN"/>
              </w:rPr>
              <w:t xml:space="preserve"> </w:t>
            </w:r>
            <w:r>
              <w:rPr>
                <w:rFonts w:hint="eastAsia" w:ascii="宋体" w:hAnsi="宋体" w:cs="宋体"/>
                <w:b/>
                <w:bCs/>
                <w:color w:val="auto"/>
                <w:szCs w:val="21"/>
                <w:highlight w:val="none"/>
              </w:rPr>
              <w:t>16192</w:t>
            </w:r>
            <w:r>
              <w:rPr>
                <w:rFonts w:hint="eastAsia" w:ascii="宋体" w:hAnsi="宋体" w:cs="宋体"/>
                <w:b/>
                <w:bCs/>
                <w:color w:val="auto"/>
                <w:szCs w:val="21"/>
                <w:highlight w:val="none"/>
                <w:lang w:val="en-US" w:eastAsia="zh-CN"/>
              </w:rPr>
              <w:t>0.00</w:t>
            </w:r>
            <w:r>
              <w:rPr>
                <w:rFonts w:hint="eastAsia" w:ascii="宋体" w:hAnsi="宋体" w:cs="宋体"/>
                <w:b/>
                <w:bCs/>
                <w:color w:val="auto"/>
                <w:szCs w:val="21"/>
                <w:highlight w:val="none"/>
              </w:rPr>
              <w:t>元</w:t>
            </w:r>
            <w:r>
              <w:rPr>
                <w:rFonts w:hint="eastAsia" w:hAnsi="宋体" w:cs="宋体"/>
                <w:b/>
                <w:bCs/>
                <w:color w:val="auto"/>
                <w:szCs w:val="21"/>
                <w:highlight w:val="none"/>
              </w:rPr>
              <w:t>。</w:t>
            </w:r>
          </w:p>
        </w:tc>
      </w:tr>
      <w:tr w14:paraId="602E044B">
        <w:tblPrEx>
          <w:tblCellMar>
            <w:top w:w="0" w:type="dxa"/>
            <w:left w:w="0" w:type="dxa"/>
            <w:bottom w:w="0" w:type="dxa"/>
            <w:right w:w="0" w:type="dxa"/>
          </w:tblCellMar>
        </w:tblPrEx>
        <w:trPr>
          <w:trHeight w:val="447"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07BD2898">
            <w:pPr>
              <w:pStyle w:val="25"/>
              <w:spacing w:line="440" w:lineRule="exact"/>
              <w:ind w:firstLine="0" w:firstLineChars="0"/>
              <w:jc w:val="center"/>
              <w:rPr>
                <w:rFonts w:hAnsi="宋体" w:cs="宋体"/>
                <w:color w:val="auto"/>
                <w:kern w:val="0"/>
                <w:sz w:val="21"/>
                <w:szCs w:val="21"/>
                <w:highlight w:val="none"/>
              </w:rPr>
            </w:pPr>
            <w:r>
              <w:rPr>
                <w:rFonts w:hint="eastAsia" w:hAnsi="宋体" w:cs="宋体"/>
                <w:color w:val="auto"/>
                <w:kern w:val="0"/>
                <w:sz w:val="21"/>
                <w:szCs w:val="21"/>
                <w:highlight w:val="none"/>
              </w:rPr>
              <w:t>9</w:t>
            </w:r>
          </w:p>
        </w:tc>
        <w:tc>
          <w:tcPr>
            <w:tcW w:w="1461" w:type="dxa"/>
            <w:tcBorders>
              <w:top w:val="single" w:color="auto" w:sz="8" w:space="0"/>
              <w:left w:val="single" w:color="auto" w:sz="4" w:space="0"/>
              <w:bottom w:val="single" w:color="auto" w:sz="8" w:space="0"/>
              <w:right w:val="single" w:color="auto" w:sz="4" w:space="0"/>
            </w:tcBorders>
            <w:vAlign w:val="center"/>
          </w:tcPr>
          <w:p w14:paraId="7ECB10A1">
            <w:pPr>
              <w:pStyle w:val="13"/>
              <w:wordWrap w:val="0"/>
              <w:spacing w:line="440" w:lineRule="exact"/>
              <w:jc w:val="center"/>
              <w:rPr>
                <w:rFonts w:hAnsi="宋体" w:cs="宋体"/>
                <w:b/>
                <w:bCs/>
                <w:color w:val="auto"/>
                <w:szCs w:val="21"/>
                <w:highlight w:val="none"/>
              </w:rPr>
            </w:pPr>
            <w:r>
              <w:rPr>
                <w:rFonts w:hint="eastAsia" w:hAnsi="宋体" w:cs="宋体"/>
                <w:b/>
                <w:bCs/>
                <w:color w:val="auto"/>
                <w:szCs w:val="21"/>
                <w:highlight w:val="none"/>
              </w:rPr>
              <w:t>最高限价</w:t>
            </w:r>
          </w:p>
        </w:tc>
        <w:tc>
          <w:tcPr>
            <w:tcW w:w="7855" w:type="dxa"/>
            <w:tcBorders>
              <w:top w:val="single" w:color="auto" w:sz="8" w:space="0"/>
              <w:left w:val="single" w:color="auto" w:sz="4" w:space="0"/>
              <w:bottom w:val="single" w:color="auto" w:sz="8" w:space="0"/>
              <w:right w:val="single" w:color="auto" w:sz="8" w:space="0"/>
            </w:tcBorders>
            <w:vAlign w:val="center"/>
          </w:tcPr>
          <w:p w14:paraId="7F604774">
            <w:pPr>
              <w:spacing w:line="440" w:lineRule="exact"/>
              <w:jc w:val="left"/>
              <w:rPr>
                <w:rFonts w:ascii="宋体" w:hAnsi="宋体" w:cs="宋体"/>
                <w:b/>
                <w:bCs/>
                <w:color w:val="auto"/>
                <w:szCs w:val="21"/>
                <w:highlight w:val="none"/>
              </w:rPr>
            </w:pPr>
            <w:r>
              <w:rPr>
                <w:rFonts w:hint="eastAsia" w:ascii="宋体" w:hAnsi="宋体" w:cs="宋体"/>
                <w:b/>
                <w:bCs/>
                <w:color w:val="auto"/>
                <w:szCs w:val="21"/>
                <w:highlight w:val="none"/>
                <w:lang w:val="en-US" w:eastAsia="zh-CN"/>
              </w:rPr>
              <w:t>壹拾陆万壹仟玖佰贰拾元整</w:t>
            </w:r>
            <w:r>
              <w:rPr>
                <w:rFonts w:hint="eastAsia" w:ascii="宋体" w:hAnsi="宋体" w:cs="宋体"/>
                <w:b/>
                <w:bCs/>
                <w:color w:val="auto"/>
                <w:szCs w:val="21"/>
                <w:highlight w:val="none"/>
              </w:rPr>
              <w:t>（16192</w:t>
            </w:r>
            <w:r>
              <w:rPr>
                <w:rFonts w:hint="eastAsia" w:ascii="宋体" w:hAnsi="宋体" w:cs="宋体"/>
                <w:b/>
                <w:bCs/>
                <w:color w:val="auto"/>
                <w:szCs w:val="21"/>
                <w:highlight w:val="none"/>
                <w:lang w:val="en-US" w:eastAsia="zh-CN"/>
              </w:rPr>
              <w:t>0.00</w:t>
            </w:r>
            <w:r>
              <w:rPr>
                <w:rFonts w:hint="eastAsia" w:ascii="宋体" w:hAnsi="宋体" w:cs="宋体"/>
                <w:b/>
                <w:bCs/>
                <w:color w:val="auto"/>
                <w:szCs w:val="21"/>
                <w:highlight w:val="none"/>
              </w:rPr>
              <w:t>元），供应商的响应报价不得高于采购人发布的最高限价，否则按无效标处理。</w:t>
            </w:r>
          </w:p>
        </w:tc>
      </w:tr>
      <w:tr w14:paraId="2B64885C">
        <w:tblPrEx>
          <w:tblCellMar>
            <w:top w:w="0" w:type="dxa"/>
            <w:left w:w="0" w:type="dxa"/>
            <w:bottom w:w="0" w:type="dxa"/>
            <w:right w:w="0" w:type="dxa"/>
          </w:tblCellMar>
        </w:tblPrEx>
        <w:trPr>
          <w:trHeight w:val="190"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60679ECA">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461" w:type="dxa"/>
            <w:tcBorders>
              <w:top w:val="single" w:color="auto" w:sz="8" w:space="0"/>
              <w:left w:val="single" w:color="auto" w:sz="4" w:space="0"/>
              <w:bottom w:val="single" w:color="auto" w:sz="8" w:space="0"/>
              <w:right w:val="single" w:color="auto" w:sz="4" w:space="0"/>
            </w:tcBorders>
            <w:vAlign w:val="center"/>
          </w:tcPr>
          <w:p w14:paraId="02439AA8">
            <w:pPr>
              <w:pStyle w:val="13"/>
              <w:wordWrap w:val="0"/>
              <w:spacing w:line="440" w:lineRule="exact"/>
              <w:jc w:val="center"/>
              <w:rPr>
                <w:rFonts w:hAnsi="宋体" w:cs="宋体"/>
                <w:color w:val="auto"/>
                <w:kern w:val="0"/>
                <w:szCs w:val="21"/>
                <w:highlight w:val="none"/>
              </w:rPr>
            </w:pPr>
            <w:r>
              <w:rPr>
                <w:rFonts w:hint="eastAsia" w:hAnsi="宋体" w:cs="宋体"/>
                <w:color w:val="auto"/>
                <w:szCs w:val="21"/>
                <w:highlight w:val="none"/>
              </w:rPr>
              <w:t>采购需求</w:t>
            </w:r>
          </w:p>
        </w:tc>
        <w:tc>
          <w:tcPr>
            <w:tcW w:w="7855" w:type="dxa"/>
            <w:tcBorders>
              <w:top w:val="single" w:color="auto" w:sz="8" w:space="0"/>
              <w:left w:val="single" w:color="auto" w:sz="4" w:space="0"/>
              <w:bottom w:val="single" w:color="auto" w:sz="8" w:space="0"/>
              <w:right w:val="single" w:color="auto" w:sz="8" w:space="0"/>
            </w:tcBorders>
            <w:vAlign w:val="center"/>
          </w:tcPr>
          <w:p w14:paraId="7690C863">
            <w:pPr>
              <w:pStyle w:val="13"/>
              <w:wordWrap w:val="0"/>
              <w:spacing w:line="440" w:lineRule="exact"/>
              <w:rPr>
                <w:rFonts w:hAnsi="宋体" w:cs="宋体"/>
                <w:color w:val="auto"/>
                <w:kern w:val="0"/>
                <w:szCs w:val="21"/>
                <w:highlight w:val="none"/>
              </w:rPr>
            </w:pPr>
            <w:r>
              <w:rPr>
                <w:rFonts w:hint="eastAsia" w:hAnsi="宋体" w:cs="宋体"/>
                <w:color w:val="auto"/>
                <w:szCs w:val="21"/>
                <w:highlight w:val="none"/>
              </w:rPr>
              <w:t>具体详见采购文件中《采购需求及技术参数要求》。</w:t>
            </w:r>
          </w:p>
        </w:tc>
      </w:tr>
      <w:tr w14:paraId="58F9353C">
        <w:tblPrEx>
          <w:tblCellMar>
            <w:top w:w="0" w:type="dxa"/>
            <w:left w:w="0" w:type="dxa"/>
            <w:bottom w:w="0" w:type="dxa"/>
            <w:right w:w="0" w:type="dxa"/>
          </w:tblCellMar>
        </w:tblPrEx>
        <w:trPr>
          <w:trHeight w:val="229"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4AD00EB5">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461" w:type="dxa"/>
            <w:tcBorders>
              <w:top w:val="single" w:color="auto" w:sz="8" w:space="0"/>
              <w:left w:val="single" w:color="auto" w:sz="4" w:space="0"/>
              <w:bottom w:val="single" w:color="auto" w:sz="8" w:space="0"/>
              <w:right w:val="single" w:color="auto" w:sz="4" w:space="0"/>
            </w:tcBorders>
            <w:vAlign w:val="center"/>
          </w:tcPr>
          <w:p w14:paraId="2AD11510">
            <w:pPr>
              <w:pStyle w:val="13"/>
              <w:wordWrap w:val="0"/>
              <w:spacing w:line="440" w:lineRule="exact"/>
              <w:jc w:val="center"/>
              <w:rPr>
                <w:rFonts w:hAnsi="宋体" w:cs="宋体"/>
                <w:color w:val="auto"/>
                <w:kern w:val="0"/>
                <w:szCs w:val="21"/>
                <w:highlight w:val="none"/>
              </w:rPr>
            </w:pPr>
            <w:r>
              <w:rPr>
                <w:rFonts w:hint="eastAsia" w:hAnsi="宋体" w:cs="宋体"/>
                <w:color w:val="auto"/>
                <w:szCs w:val="21"/>
                <w:highlight w:val="none"/>
              </w:rPr>
              <w:t>招标方式</w:t>
            </w:r>
          </w:p>
        </w:tc>
        <w:tc>
          <w:tcPr>
            <w:tcW w:w="7855" w:type="dxa"/>
            <w:tcBorders>
              <w:top w:val="single" w:color="auto" w:sz="8" w:space="0"/>
              <w:left w:val="single" w:color="auto" w:sz="4" w:space="0"/>
              <w:bottom w:val="single" w:color="auto" w:sz="8" w:space="0"/>
              <w:right w:val="single" w:color="auto" w:sz="8" w:space="0"/>
            </w:tcBorders>
            <w:vAlign w:val="center"/>
          </w:tcPr>
          <w:p w14:paraId="3221E273">
            <w:pPr>
              <w:pStyle w:val="13"/>
              <w:wordWrap w:val="0"/>
              <w:spacing w:line="440" w:lineRule="exact"/>
              <w:rPr>
                <w:rFonts w:hAnsi="宋体" w:cs="宋体"/>
                <w:color w:val="auto"/>
                <w:kern w:val="0"/>
                <w:szCs w:val="21"/>
                <w:highlight w:val="none"/>
              </w:rPr>
            </w:pPr>
            <w:r>
              <w:rPr>
                <w:rFonts w:hint="eastAsia" w:hAnsi="宋体" w:cs="宋体"/>
                <w:color w:val="auto"/>
                <w:szCs w:val="21"/>
                <w:highlight w:val="none"/>
              </w:rPr>
              <w:t>公开招标</w:t>
            </w:r>
          </w:p>
        </w:tc>
      </w:tr>
      <w:tr w14:paraId="3444FEB2">
        <w:tblPrEx>
          <w:tblCellMar>
            <w:top w:w="0" w:type="dxa"/>
            <w:left w:w="0" w:type="dxa"/>
            <w:bottom w:w="0" w:type="dxa"/>
            <w:right w:w="0" w:type="dxa"/>
          </w:tblCellMar>
        </w:tblPrEx>
        <w:trPr>
          <w:trHeight w:val="484"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6B7C285E">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461" w:type="dxa"/>
            <w:tcBorders>
              <w:top w:val="single" w:color="auto" w:sz="8" w:space="0"/>
              <w:left w:val="single" w:color="auto" w:sz="4" w:space="0"/>
              <w:bottom w:val="single" w:color="auto" w:sz="8" w:space="0"/>
              <w:right w:val="single" w:color="auto" w:sz="4" w:space="0"/>
            </w:tcBorders>
            <w:vAlign w:val="center"/>
          </w:tcPr>
          <w:p w14:paraId="15259BBB">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投标供应商资质要求</w:t>
            </w:r>
          </w:p>
        </w:tc>
        <w:tc>
          <w:tcPr>
            <w:tcW w:w="7855" w:type="dxa"/>
            <w:tcBorders>
              <w:top w:val="single" w:color="auto" w:sz="8" w:space="0"/>
              <w:left w:val="single" w:color="auto" w:sz="4" w:space="0"/>
              <w:bottom w:val="single" w:color="auto" w:sz="8" w:space="0"/>
              <w:right w:val="single" w:color="auto" w:sz="8" w:space="0"/>
            </w:tcBorders>
            <w:vAlign w:val="center"/>
          </w:tcPr>
          <w:p w14:paraId="2CE5C97A">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1、供应商必须具有承担民事责任能力，并且具有有效的营业执照（或三证合一有效证件）；</w:t>
            </w:r>
          </w:p>
          <w:p w14:paraId="363A9AAA">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2、本项目不接受联合体；</w:t>
            </w:r>
          </w:p>
          <w:p w14:paraId="13AA1009">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、信誉要求：供应商不得存在以下情形：</w:t>
            </w:r>
          </w:p>
          <w:p w14:paraId="0BA4C938">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①供应商被人民法院列入失信被执行人的；</w:t>
            </w:r>
          </w:p>
          <w:p w14:paraId="1C49221B">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②供应商或其法定代表人被人民检察院列入行贿犯罪档案的；</w:t>
            </w:r>
          </w:p>
          <w:p w14:paraId="0B6CF289">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③供应商被市场监督管理部门列入经营异常名录或者严重违法企业名单的；</w:t>
            </w:r>
          </w:p>
          <w:p w14:paraId="1F21432B">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④供应商被税收部门列入重大税收违法案件当事人的；</w:t>
            </w:r>
          </w:p>
          <w:p w14:paraId="040449E6">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⑤供应商被采购监管部门列入采购严重违法失信行为记录名单的；</w:t>
            </w:r>
          </w:p>
          <w:p w14:paraId="4BAE5F43">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⑥在“信用中国”网站上披露仍在公示期的严重失信行为的；</w:t>
            </w:r>
          </w:p>
          <w:p w14:paraId="3F91CD9B">
            <w:pPr>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⑦被滁州市县两级行业主管部门及公管部门禁止在一定期限内参加采购活动且在禁止期限内的；</w:t>
            </w:r>
          </w:p>
          <w:p w14:paraId="465B3675">
            <w:pPr>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⑧被滁州市县两级公管部门记入不良行为记录或者信用信息记录，且在披露期内的；</w:t>
            </w:r>
          </w:p>
        </w:tc>
      </w:tr>
      <w:tr w14:paraId="74FA7C6C">
        <w:tblPrEx>
          <w:tblCellMar>
            <w:top w:w="0" w:type="dxa"/>
            <w:left w:w="0" w:type="dxa"/>
            <w:bottom w:w="0" w:type="dxa"/>
            <w:right w:w="0" w:type="dxa"/>
          </w:tblCellMar>
        </w:tblPrEx>
        <w:trPr>
          <w:trHeight w:val="413"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55EBC47C">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1461" w:type="dxa"/>
            <w:tcBorders>
              <w:top w:val="single" w:color="auto" w:sz="8" w:space="0"/>
              <w:left w:val="single" w:color="auto" w:sz="4" w:space="0"/>
              <w:bottom w:val="single" w:color="auto" w:sz="8" w:space="0"/>
              <w:right w:val="single" w:color="auto" w:sz="4" w:space="0"/>
            </w:tcBorders>
            <w:vAlign w:val="bottom"/>
          </w:tcPr>
          <w:p w14:paraId="50DDB05F">
            <w:pPr>
              <w:pStyle w:val="14"/>
              <w:spacing w:line="440" w:lineRule="exact"/>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投标文件份数</w:t>
            </w:r>
          </w:p>
        </w:tc>
        <w:tc>
          <w:tcPr>
            <w:tcW w:w="7855" w:type="dxa"/>
            <w:tcBorders>
              <w:top w:val="single" w:color="auto" w:sz="8" w:space="0"/>
              <w:left w:val="single" w:color="auto" w:sz="4" w:space="0"/>
              <w:bottom w:val="single" w:color="auto" w:sz="8" w:space="0"/>
              <w:right w:val="single" w:color="auto" w:sz="8" w:space="0"/>
            </w:tcBorders>
            <w:vAlign w:val="center"/>
          </w:tcPr>
          <w:p w14:paraId="63C418DB">
            <w:pPr>
              <w:pStyle w:val="14"/>
              <w:spacing w:line="440" w:lineRule="exac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正本</w:t>
            </w:r>
            <w:r>
              <w:rPr>
                <w:rFonts w:hint="eastAsia" w:ascii="宋体" w:hAnsi="宋体" w:eastAsia="宋体" w:cs="宋体"/>
                <w:color w:val="auto"/>
                <w:kern w:val="0"/>
                <w:sz w:val="21"/>
                <w:szCs w:val="21"/>
                <w:highlight w:val="none"/>
                <w:u w:val="single"/>
              </w:rPr>
              <w:t xml:space="preserve"> 一 </w:t>
            </w:r>
            <w:r>
              <w:rPr>
                <w:rFonts w:hint="eastAsia" w:ascii="宋体" w:hAnsi="宋体" w:eastAsia="宋体" w:cs="宋体"/>
                <w:color w:val="auto"/>
                <w:kern w:val="0"/>
                <w:sz w:val="21"/>
                <w:szCs w:val="21"/>
                <w:highlight w:val="none"/>
              </w:rPr>
              <w:t>份，副本</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tc>
      </w:tr>
      <w:tr w14:paraId="34567C38">
        <w:tblPrEx>
          <w:tblCellMar>
            <w:top w:w="0" w:type="dxa"/>
            <w:left w:w="0" w:type="dxa"/>
            <w:bottom w:w="0" w:type="dxa"/>
            <w:right w:w="0" w:type="dxa"/>
          </w:tblCellMar>
        </w:tblPrEx>
        <w:trPr>
          <w:trHeight w:val="90"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48842688">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1461" w:type="dxa"/>
            <w:tcBorders>
              <w:top w:val="single" w:color="auto" w:sz="8" w:space="0"/>
              <w:left w:val="single" w:color="auto" w:sz="4" w:space="0"/>
              <w:bottom w:val="single" w:color="auto" w:sz="8" w:space="0"/>
              <w:right w:val="single" w:color="auto" w:sz="4" w:space="0"/>
            </w:tcBorders>
            <w:vAlign w:val="center"/>
          </w:tcPr>
          <w:p w14:paraId="10C70D72">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勘查现场</w:t>
            </w:r>
          </w:p>
        </w:tc>
        <w:tc>
          <w:tcPr>
            <w:tcW w:w="7855" w:type="dxa"/>
            <w:tcBorders>
              <w:top w:val="single" w:color="auto" w:sz="8" w:space="0"/>
              <w:left w:val="single" w:color="auto" w:sz="4" w:space="0"/>
              <w:bottom w:val="single" w:color="auto" w:sz="8" w:space="0"/>
              <w:right w:val="single" w:color="auto" w:sz="8" w:space="0"/>
            </w:tcBorders>
            <w:vAlign w:val="center"/>
          </w:tcPr>
          <w:p w14:paraId="3F5B8051">
            <w:pPr>
              <w:spacing w:line="440" w:lineRule="exact"/>
              <w:rPr>
                <w:rFonts w:ascii="宋体" w:hAnsi="宋体" w:cs="宋体"/>
                <w:color w:val="auto"/>
                <w:kern w:val="0"/>
                <w:szCs w:val="21"/>
                <w:highlight w:val="none"/>
                <w:u w:val="single"/>
              </w:rPr>
            </w:pPr>
            <w:r>
              <w:rPr>
                <w:rFonts w:hint="eastAsia" w:ascii="宋体" w:hAnsi="宋体" w:cs="宋体"/>
                <w:color w:val="auto"/>
                <w:kern w:val="0"/>
                <w:szCs w:val="21"/>
                <w:highlight w:val="none"/>
              </w:rPr>
              <w:t>不再集中召开招标答疑会；投标供应商自行组织勘察现场。</w:t>
            </w:r>
          </w:p>
        </w:tc>
      </w:tr>
      <w:tr w14:paraId="36529E29">
        <w:tblPrEx>
          <w:tblCellMar>
            <w:top w:w="0" w:type="dxa"/>
            <w:left w:w="0" w:type="dxa"/>
            <w:bottom w:w="0" w:type="dxa"/>
            <w:right w:w="0" w:type="dxa"/>
          </w:tblCellMar>
        </w:tblPrEx>
        <w:trPr>
          <w:trHeight w:val="90"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74E82D2F">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1461" w:type="dxa"/>
            <w:tcBorders>
              <w:top w:val="single" w:color="auto" w:sz="8" w:space="0"/>
              <w:left w:val="single" w:color="auto" w:sz="4" w:space="0"/>
              <w:bottom w:val="single" w:color="auto" w:sz="8" w:space="0"/>
              <w:right w:val="single" w:color="auto" w:sz="4" w:space="0"/>
            </w:tcBorders>
            <w:vAlign w:val="center"/>
          </w:tcPr>
          <w:p w14:paraId="0A1A50CC">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质疑答疑</w:t>
            </w:r>
          </w:p>
        </w:tc>
        <w:tc>
          <w:tcPr>
            <w:tcW w:w="7855" w:type="dxa"/>
            <w:tcBorders>
              <w:top w:val="single" w:color="auto" w:sz="8" w:space="0"/>
              <w:left w:val="single" w:color="auto" w:sz="4" w:space="0"/>
              <w:bottom w:val="single" w:color="auto" w:sz="8" w:space="0"/>
              <w:right w:val="single" w:color="auto" w:sz="8" w:space="0"/>
            </w:tcBorders>
            <w:vAlign w:val="center"/>
          </w:tcPr>
          <w:p w14:paraId="2E9A6B2A">
            <w:pPr>
              <w:spacing w:line="440" w:lineRule="exact"/>
              <w:jc w:val="left"/>
              <w:rPr>
                <w:rFonts w:ascii="宋体" w:hAnsi="宋体" w:cs="宋体"/>
                <w:b/>
                <w:bCs/>
                <w:color w:val="auto"/>
                <w:szCs w:val="21"/>
                <w:highlight w:val="none"/>
              </w:rPr>
            </w:pPr>
            <w:r>
              <w:rPr>
                <w:rFonts w:hint="eastAsia" w:ascii="宋体" w:hAnsi="宋体" w:cs="宋体"/>
                <w:bCs/>
                <w:color w:val="auto"/>
                <w:szCs w:val="21"/>
                <w:highlight w:val="none"/>
              </w:rPr>
              <w:t>请于</w:t>
            </w:r>
            <w:r>
              <w:rPr>
                <w:rFonts w:hint="eastAsia" w:ascii="宋体" w:hAnsi="宋体" w:cs="宋体"/>
                <w:b/>
                <w:color w:val="auto"/>
                <w:szCs w:val="21"/>
                <w:highlight w:val="none"/>
              </w:rPr>
              <w:t>202</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年</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月</w:t>
            </w:r>
            <w:r>
              <w:rPr>
                <w:rFonts w:hint="eastAsia" w:ascii="宋体" w:hAnsi="宋体" w:cs="宋体"/>
                <w:b/>
                <w:color w:val="auto"/>
                <w:szCs w:val="21"/>
                <w:highlight w:val="none"/>
                <w:lang w:val="en-US" w:eastAsia="zh-CN"/>
              </w:rPr>
              <w:t>19</w:t>
            </w:r>
            <w:r>
              <w:rPr>
                <w:color w:val="auto"/>
                <w:highlight w:val="none"/>
              </w:rPr>
              <w:fldChar w:fldCharType="begin"/>
            </w:r>
            <w:r>
              <w:rPr>
                <w:color w:val="auto"/>
                <w:highlight w:val="none"/>
              </w:rPr>
              <w:instrText xml:space="preserve"> HYPERLINK "mailto:日17时前，将疑问以书面形式（加盖公章）送至滁州学院资产与设备处（会峰校区行政楼220）或以邮件的形式发送至(909873365@qq.com)邮箱，采购人将在2020年" </w:instrText>
            </w:r>
            <w:r>
              <w:rPr>
                <w:color w:val="auto"/>
                <w:highlight w:val="none"/>
              </w:rPr>
              <w:fldChar w:fldCharType="separate"/>
            </w:r>
            <w:r>
              <w:rPr>
                <w:rStyle w:val="37"/>
                <w:rFonts w:hint="eastAsia" w:ascii="宋体" w:hAnsi="宋体" w:cs="宋体"/>
                <w:b/>
                <w:color w:val="auto"/>
                <w:szCs w:val="21"/>
                <w:highlight w:val="none"/>
              </w:rPr>
              <w:t>日17时前</w:t>
            </w:r>
            <w:r>
              <w:rPr>
                <w:rStyle w:val="37"/>
                <w:rFonts w:hint="eastAsia" w:ascii="宋体" w:hAnsi="宋体" w:cs="宋体"/>
                <w:bCs/>
                <w:color w:val="auto"/>
                <w:szCs w:val="21"/>
                <w:highlight w:val="none"/>
              </w:rPr>
              <w:t>，将疑问以书面形式（加盖公章）送至资产与实验室管理处（会峰校区行政楼220）或以邮件的形式发送至（ahldzb@126.com）代理邮箱，采购人将在</w:t>
            </w:r>
            <w:r>
              <w:rPr>
                <w:rStyle w:val="37"/>
                <w:rFonts w:hint="eastAsia" w:ascii="宋体" w:hAnsi="宋体" w:cs="宋体"/>
                <w:b/>
                <w:color w:val="auto"/>
                <w:szCs w:val="21"/>
                <w:highlight w:val="none"/>
              </w:rPr>
              <w:t>202</w:t>
            </w:r>
            <w:r>
              <w:rPr>
                <w:rStyle w:val="37"/>
                <w:rFonts w:hint="eastAsia" w:ascii="宋体" w:hAnsi="宋体" w:cs="宋体"/>
                <w:b/>
                <w:color w:val="auto"/>
                <w:szCs w:val="21"/>
                <w:highlight w:val="none"/>
                <w:lang w:val="en-US" w:eastAsia="zh-CN"/>
              </w:rPr>
              <w:t>5</w:t>
            </w:r>
            <w:r>
              <w:rPr>
                <w:rStyle w:val="37"/>
                <w:rFonts w:hint="eastAsia" w:ascii="宋体" w:hAnsi="宋体" w:cs="宋体"/>
                <w:b/>
                <w:color w:val="auto"/>
                <w:szCs w:val="21"/>
                <w:highlight w:val="none"/>
              </w:rPr>
              <w:t>年</w:t>
            </w:r>
            <w:r>
              <w:rPr>
                <w:rStyle w:val="37"/>
                <w:rFonts w:hint="eastAsia" w:ascii="宋体" w:hAnsi="宋体" w:cs="宋体"/>
                <w:b/>
                <w:color w:val="auto"/>
                <w:szCs w:val="21"/>
                <w:highlight w:val="none"/>
              </w:rPr>
              <w:fldChar w:fldCharType="end"/>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月</w:t>
            </w:r>
            <w:r>
              <w:rPr>
                <w:rFonts w:hint="eastAsia" w:ascii="宋体" w:hAnsi="宋体" w:cs="宋体"/>
                <w:b/>
                <w:color w:val="auto"/>
                <w:szCs w:val="21"/>
                <w:highlight w:val="none"/>
                <w:lang w:val="en-US" w:eastAsia="zh-CN"/>
              </w:rPr>
              <w:t>20</w:t>
            </w:r>
            <w:r>
              <w:rPr>
                <w:rFonts w:hint="eastAsia" w:ascii="宋体" w:hAnsi="宋体" w:cs="宋体"/>
                <w:b/>
                <w:color w:val="auto"/>
                <w:szCs w:val="21"/>
                <w:highlight w:val="none"/>
              </w:rPr>
              <w:t>日17时前</w:t>
            </w:r>
            <w:r>
              <w:rPr>
                <w:rFonts w:hint="eastAsia" w:ascii="宋体" w:hAnsi="宋体" w:cs="宋体"/>
                <w:bCs/>
                <w:color w:val="auto"/>
                <w:szCs w:val="21"/>
                <w:highlight w:val="none"/>
              </w:rPr>
              <w:t>以澄清公告形式在滁州学院网站（http://zcc.chzu.edu.cn）资产与实验室管理处网页采购公告栏处予以公告，请各潜在供应商注意查看有关澄清内容，如不及时查看造成后果由供应商自负。</w:t>
            </w:r>
          </w:p>
          <w:p w14:paraId="750E07EA">
            <w:pPr>
              <w:widowControl/>
              <w:spacing w:line="440" w:lineRule="exact"/>
              <w:jc w:val="left"/>
              <w:rPr>
                <w:rFonts w:ascii="宋体" w:hAnsi="宋体" w:cs="宋体"/>
                <w:color w:val="auto"/>
                <w:kern w:val="0"/>
                <w:szCs w:val="21"/>
                <w:highlight w:val="none"/>
              </w:rPr>
            </w:pPr>
            <w:r>
              <w:rPr>
                <w:rFonts w:hint="eastAsia" w:ascii="宋体" w:hAnsi="宋体" w:cs="宋体"/>
                <w:b/>
                <w:color w:val="auto"/>
                <w:szCs w:val="21"/>
                <w:highlight w:val="none"/>
              </w:rPr>
              <w:t>供应商请注意：</w:t>
            </w:r>
            <w:r>
              <w:rPr>
                <w:rFonts w:hint="eastAsia" w:ascii="宋体" w:hAnsi="宋体" w:cs="宋体"/>
                <w:bCs/>
                <w:color w:val="auto"/>
                <w:szCs w:val="21"/>
                <w:highlight w:val="none"/>
              </w:rPr>
              <w:t>采购代理机构对采购文件进行的澄清、更正或更改，将在网站上及时发布，该公告内容为采购文件的组成部分，对供应商具有同样约束力效力。供应商应主动上网查询。采购代理机构不承担供应商未及时关注相关信息引发的相关责任。</w:t>
            </w:r>
          </w:p>
        </w:tc>
      </w:tr>
      <w:tr w14:paraId="1801C095">
        <w:tblPrEx>
          <w:tblCellMar>
            <w:top w:w="0" w:type="dxa"/>
            <w:left w:w="0" w:type="dxa"/>
            <w:bottom w:w="0" w:type="dxa"/>
            <w:right w:w="0" w:type="dxa"/>
          </w:tblCellMar>
        </w:tblPrEx>
        <w:trPr>
          <w:trHeight w:val="377"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1A8A5201">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1461" w:type="dxa"/>
            <w:tcBorders>
              <w:top w:val="single" w:color="auto" w:sz="8" w:space="0"/>
              <w:left w:val="single" w:color="auto" w:sz="4" w:space="0"/>
              <w:bottom w:val="single" w:color="auto" w:sz="8" w:space="0"/>
              <w:right w:val="single" w:color="auto" w:sz="4" w:space="0"/>
            </w:tcBorders>
            <w:vAlign w:val="center"/>
          </w:tcPr>
          <w:p w14:paraId="4778B24D">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投标保证金</w:t>
            </w:r>
          </w:p>
        </w:tc>
        <w:tc>
          <w:tcPr>
            <w:tcW w:w="7855" w:type="dxa"/>
            <w:tcBorders>
              <w:top w:val="single" w:color="auto" w:sz="8" w:space="0"/>
              <w:left w:val="single" w:color="auto" w:sz="4" w:space="0"/>
              <w:bottom w:val="single" w:color="auto" w:sz="8" w:space="0"/>
              <w:right w:val="single" w:color="auto" w:sz="8" w:space="0"/>
            </w:tcBorders>
            <w:vAlign w:val="center"/>
          </w:tcPr>
          <w:p w14:paraId="7C5D07D0">
            <w:pPr>
              <w:widowControl/>
              <w:spacing w:line="440" w:lineRule="exact"/>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本项目不采用</w:t>
            </w:r>
          </w:p>
        </w:tc>
      </w:tr>
      <w:tr w14:paraId="6FAA3674">
        <w:tblPrEx>
          <w:tblCellMar>
            <w:top w:w="0" w:type="dxa"/>
            <w:left w:w="0" w:type="dxa"/>
            <w:bottom w:w="0" w:type="dxa"/>
            <w:right w:w="0" w:type="dxa"/>
          </w:tblCellMar>
        </w:tblPrEx>
        <w:trPr>
          <w:trHeight w:val="377"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1645DE16">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1461" w:type="dxa"/>
            <w:tcBorders>
              <w:top w:val="single" w:color="auto" w:sz="8" w:space="0"/>
              <w:left w:val="single" w:color="auto" w:sz="4" w:space="0"/>
              <w:bottom w:val="single" w:color="auto" w:sz="8" w:space="0"/>
              <w:right w:val="single" w:color="auto" w:sz="4" w:space="0"/>
            </w:tcBorders>
            <w:vAlign w:val="center"/>
          </w:tcPr>
          <w:p w14:paraId="1165B030">
            <w:pPr>
              <w:pStyle w:val="13"/>
              <w:wordWrap w:val="0"/>
              <w:spacing w:line="440" w:lineRule="exact"/>
              <w:jc w:val="center"/>
              <w:rPr>
                <w:rFonts w:hAnsi="宋体" w:cs="宋体"/>
                <w:color w:val="auto"/>
                <w:szCs w:val="21"/>
                <w:highlight w:val="none"/>
              </w:rPr>
            </w:pPr>
            <w:r>
              <w:rPr>
                <w:rFonts w:hint="eastAsia" w:hAnsi="宋体" w:cs="宋体"/>
                <w:color w:val="auto"/>
                <w:szCs w:val="21"/>
                <w:highlight w:val="none"/>
              </w:rPr>
              <w:t>投标有效期</w:t>
            </w:r>
          </w:p>
        </w:tc>
        <w:tc>
          <w:tcPr>
            <w:tcW w:w="7855" w:type="dxa"/>
            <w:tcBorders>
              <w:top w:val="single" w:color="auto" w:sz="8" w:space="0"/>
              <w:left w:val="single" w:color="auto" w:sz="4" w:space="0"/>
              <w:bottom w:val="single" w:color="auto" w:sz="8" w:space="0"/>
              <w:right w:val="single" w:color="auto" w:sz="8" w:space="0"/>
            </w:tcBorders>
            <w:vAlign w:val="center"/>
          </w:tcPr>
          <w:p w14:paraId="0524CBC7">
            <w:pPr>
              <w:pStyle w:val="13"/>
              <w:wordWrap w:val="0"/>
              <w:spacing w:line="440" w:lineRule="exact"/>
              <w:rPr>
                <w:rFonts w:hAnsi="宋体" w:cs="宋体"/>
                <w:b/>
                <w:color w:val="auto"/>
                <w:szCs w:val="21"/>
                <w:highlight w:val="none"/>
              </w:rPr>
            </w:pPr>
            <w:r>
              <w:rPr>
                <w:rFonts w:hint="eastAsia" w:hAnsi="宋体" w:cs="宋体"/>
                <w:color w:val="auto"/>
                <w:szCs w:val="21"/>
                <w:highlight w:val="none"/>
              </w:rPr>
              <w:t>投标有效期为</w:t>
            </w:r>
            <w:r>
              <w:rPr>
                <w:rFonts w:hint="eastAsia" w:hAnsi="宋体" w:cs="宋体"/>
                <w:color w:val="auto"/>
                <w:szCs w:val="21"/>
                <w:highlight w:val="none"/>
                <w:u w:val="single"/>
              </w:rPr>
              <w:t xml:space="preserve"> 60 </w:t>
            </w:r>
            <w:r>
              <w:rPr>
                <w:rFonts w:hint="eastAsia" w:hAnsi="宋体" w:cs="宋体"/>
                <w:color w:val="auto"/>
                <w:szCs w:val="21"/>
                <w:highlight w:val="none"/>
              </w:rPr>
              <w:t>日历天（从投标截止之日算起）。在此期限内，凡符合本采购文件要求的投标文件均保持有效。</w:t>
            </w:r>
          </w:p>
        </w:tc>
      </w:tr>
      <w:tr w14:paraId="3B6A50D0">
        <w:tblPrEx>
          <w:tblCellMar>
            <w:top w:w="0" w:type="dxa"/>
            <w:left w:w="0" w:type="dxa"/>
            <w:bottom w:w="0" w:type="dxa"/>
            <w:right w:w="0" w:type="dxa"/>
          </w:tblCellMar>
        </w:tblPrEx>
        <w:trPr>
          <w:trHeight w:val="90"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6FF803F0">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1461" w:type="dxa"/>
            <w:tcBorders>
              <w:top w:val="single" w:color="auto" w:sz="8" w:space="0"/>
              <w:left w:val="single" w:color="auto" w:sz="4" w:space="0"/>
              <w:bottom w:val="single" w:color="auto" w:sz="8" w:space="0"/>
              <w:right w:val="single" w:color="auto" w:sz="4" w:space="0"/>
            </w:tcBorders>
            <w:vAlign w:val="center"/>
          </w:tcPr>
          <w:p w14:paraId="18BBFB83">
            <w:pPr>
              <w:pStyle w:val="13"/>
              <w:wordWrap w:val="0"/>
              <w:spacing w:line="440" w:lineRule="exact"/>
              <w:jc w:val="center"/>
              <w:rPr>
                <w:rFonts w:hAnsi="宋体" w:cs="宋体"/>
                <w:color w:val="auto"/>
                <w:szCs w:val="21"/>
                <w:highlight w:val="none"/>
              </w:rPr>
            </w:pPr>
            <w:r>
              <w:rPr>
                <w:rFonts w:hint="eastAsia" w:hAnsi="宋体" w:cs="宋体"/>
                <w:bCs/>
                <w:color w:val="auto"/>
                <w:kern w:val="0"/>
                <w:szCs w:val="21"/>
                <w:highlight w:val="none"/>
              </w:rPr>
              <w:t>投标文件数量</w:t>
            </w:r>
          </w:p>
        </w:tc>
        <w:tc>
          <w:tcPr>
            <w:tcW w:w="7855" w:type="dxa"/>
            <w:tcBorders>
              <w:top w:val="single" w:color="auto" w:sz="8" w:space="0"/>
              <w:left w:val="single" w:color="auto" w:sz="4" w:space="0"/>
              <w:bottom w:val="single" w:color="auto" w:sz="8" w:space="0"/>
              <w:right w:val="single" w:color="auto" w:sz="8" w:space="0"/>
            </w:tcBorders>
            <w:vAlign w:val="center"/>
          </w:tcPr>
          <w:p w14:paraId="7EAC84A9">
            <w:pPr>
              <w:pStyle w:val="13"/>
              <w:wordWrap w:val="0"/>
              <w:spacing w:line="440" w:lineRule="exact"/>
              <w:rPr>
                <w:rFonts w:hAnsi="宋体" w:cs="宋体"/>
                <w:color w:val="auto"/>
                <w:szCs w:val="21"/>
                <w:highlight w:val="none"/>
              </w:rPr>
            </w:pPr>
            <w:r>
              <w:rPr>
                <w:rFonts w:hint="eastAsia" w:hAnsi="宋体" w:cs="宋体"/>
                <w:color w:val="auto"/>
                <w:szCs w:val="21"/>
                <w:highlight w:val="none"/>
              </w:rPr>
              <w:t>正本一份，副本</w:t>
            </w:r>
            <w:r>
              <w:rPr>
                <w:rFonts w:hint="eastAsia" w:hAnsi="宋体" w:cs="宋体"/>
                <w:color w:val="auto"/>
                <w:szCs w:val="21"/>
                <w:highlight w:val="none"/>
                <w:lang w:val="en-US" w:eastAsia="zh-CN"/>
              </w:rPr>
              <w:t>二</w:t>
            </w:r>
            <w:r>
              <w:rPr>
                <w:rFonts w:hint="eastAsia" w:hAnsi="宋体" w:cs="宋体"/>
                <w:color w:val="auto"/>
                <w:szCs w:val="21"/>
                <w:highlight w:val="none"/>
              </w:rPr>
              <w:t>份；</w:t>
            </w:r>
          </w:p>
        </w:tc>
      </w:tr>
      <w:tr w14:paraId="326D2C24">
        <w:tblPrEx>
          <w:tblCellMar>
            <w:top w:w="0" w:type="dxa"/>
            <w:left w:w="0" w:type="dxa"/>
            <w:bottom w:w="0" w:type="dxa"/>
            <w:right w:w="0" w:type="dxa"/>
          </w:tblCellMar>
        </w:tblPrEx>
        <w:trPr>
          <w:trHeight w:val="377"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78AB1A7E">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1461" w:type="dxa"/>
            <w:tcBorders>
              <w:top w:val="single" w:color="auto" w:sz="8" w:space="0"/>
              <w:left w:val="single" w:color="auto" w:sz="4" w:space="0"/>
              <w:bottom w:val="single" w:color="auto" w:sz="8" w:space="0"/>
              <w:right w:val="single" w:color="auto" w:sz="4" w:space="0"/>
            </w:tcBorders>
            <w:vAlign w:val="center"/>
          </w:tcPr>
          <w:p w14:paraId="5724594B">
            <w:pPr>
              <w:spacing w:line="440" w:lineRule="exact"/>
              <w:jc w:val="center"/>
              <w:rPr>
                <w:rFonts w:ascii="宋体" w:hAnsi="宋体" w:cs="宋体"/>
                <w:b/>
                <w:bCs/>
                <w:color w:val="auto"/>
                <w:kern w:val="0"/>
                <w:szCs w:val="21"/>
                <w:highlight w:val="none"/>
              </w:rPr>
            </w:pPr>
            <w:r>
              <w:rPr>
                <w:rFonts w:hint="eastAsia" w:ascii="宋体" w:hAnsi="宋体" w:cs="宋体"/>
                <w:b/>
                <w:bCs/>
                <w:color w:val="auto"/>
                <w:szCs w:val="21"/>
                <w:highlight w:val="none"/>
              </w:rPr>
              <w:t>装订、密封要求</w:t>
            </w:r>
          </w:p>
        </w:tc>
        <w:tc>
          <w:tcPr>
            <w:tcW w:w="7855" w:type="dxa"/>
            <w:tcBorders>
              <w:top w:val="single" w:color="auto" w:sz="8" w:space="0"/>
              <w:left w:val="single" w:color="auto" w:sz="4" w:space="0"/>
              <w:bottom w:val="single" w:color="auto" w:sz="8" w:space="0"/>
              <w:right w:val="single" w:color="auto" w:sz="8" w:space="0"/>
            </w:tcBorders>
            <w:vAlign w:val="center"/>
          </w:tcPr>
          <w:p w14:paraId="28828676">
            <w:pPr>
              <w:spacing w:line="440" w:lineRule="exact"/>
              <w:jc w:val="left"/>
              <w:rPr>
                <w:rFonts w:ascii="宋体" w:hAnsi="宋体" w:cs="宋体"/>
                <w:b/>
                <w:bCs/>
                <w:color w:val="auto"/>
                <w:szCs w:val="21"/>
                <w:highlight w:val="none"/>
              </w:rPr>
            </w:pPr>
            <w:r>
              <w:rPr>
                <w:rFonts w:hint="eastAsia" w:ascii="宋体" w:hAnsi="宋体" w:cs="宋体"/>
                <w:b/>
                <w:bCs/>
                <w:color w:val="auto"/>
                <w:szCs w:val="21"/>
                <w:highlight w:val="none"/>
              </w:rPr>
              <w:t>资格证明文件正副本密封在资格证明文件袋内，技术标正副本密封在技术标文件袋内，商务标正副本密封在商务标文件袋内。</w:t>
            </w:r>
          </w:p>
        </w:tc>
      </w:tr>
      <w:tr w14:paraId="328B9A25">
        <w:tblPrEx>
          <w:tblCellMar>
            <w:top w:w="0" w:type="dxa"/>
            <w:left w:w="0" w:type="dxa"/>
            <w:bottom w:w="0" w:type="dxa"/>
            <w:right w:w="0" w:type="dxa"/>
          </w:tblCellMar>
        </w:tblPrEx>
        <w:trPr>
          <w:trHeight w:val="432"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214341AA">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461" w:type="dxa"/>
            <w:tcBorders>
              <w:top w:val="single" w:color="auto" w:sz="8" w:space="0"/>
              <w:left w:val="single" w:color="auto" w:sz="4" w:space="0"/>
              <w:bottom w:val="single" w:color="auto" w:sz="8" w:space="0"/>
              <w:right w:val="single" w:color="auto" w:sz="4" w:space="0"/>
            </w:tcBorders>
            <w:vAlign w:val="center"/>
          </w:tcPr>
          <w:p w14:paraId="2C3ACF68">
            <w:pPr>
              <w:spacing w:line="440" w:lineRule="exact"/>
              <w:jc w:val="center"/>
              <w:rPr>
                <w:rFonts w:ascii="黑体" w:hAnsi="黑体" w:eastAsia="黑体" w:cs="黑体"/>
                <w:b/>
                <w:bCs/>
                <w:color w:val="auto"/>
                <w:kern w:val="0"/>
                <w:szCs w:val="21"/>
                <w:highlight w:val="none"/>
              </w:rPr>
            </w:pPr>
            <w:r>
              <w:rPr>
                <w:rFonts w:hint="eastAsia" w:ascii="黑体" w:hAnsi="黑体" w:eastAsia="黑体" w:cs="黑体"/>
                <w:b/>
                <w:bCs/>
                <w:color w:val="auto"/>
                <w:kern w:val="0"/>
                <w:szCs w:val="21"/>
                <w:highlight w:val="none"/>
              </w:rPr>
              <w:t>投标文件提交截止时间及地点</w:t>
            </w:r>
          </w:p>
        </w:tc>
        <w:tc>
          <w:tcPr>
            <w:tcW w:w="7855" w:type="dxa"/>
            <w:tcBorders>
              <w:top w:val="single" w:color="auto" w:sz="8" w:space="0"/>
              <w:left w:val="single" w:color="auto" w:sz="4" w:space="0"/>
              <w:bottom w:val="single" w:color="auto" w:sz="8" w:space="0"/>
              <w:right w:val="single" w:color="auto" w:sz="8" w:space="0"/>
            </w:tcBorders>
            <w:vAlign w:val="center"/>
          </w:tcPr>
          <w:p w14:paraId="6733888B">
            <w:pPr>
              <w:spacing w:line="440" w:lineRule="exact"/>
              <w:rPr>
                <w:rFonts w:ascii="黑体" w:hAnsi="黑体" w:eastAsia="黑体" w:cs="黑体"/>
                <w:b/>
                <w:bCs/>
                <w:color w:val="auto"/>
                <w:szCs w:val="21"/>
                <w:highlight w:val="none"/>
              </w:rPr>
            </w:pPr>
            <w:r>
              <w:rPr>
                <w:rFonts w:hint="eastAsia" w:ascii="黑体" w:hAnsi="黑体" w:eastAsia="黑体" w:cs="黑体"/>
                <w:b/>
                <w:bCs/>
                <w:color w:val="auto"/>
                <w:szCs w:val="21"/>
                <w:highlight w:val="none"/>
              </w:rPr>
              <w:t>收件人：安徽立地工程咨询有限公司</w:t>
            </w:r>
          </w:p>
          <w:p w14:paraId="3F0A2C70">
            <w:pPr>
              <w:spacing w:line="440" w:lineRule="exact"/>
              <w:rPr>
                <w:rFonts w:hint="eastAsia" w:ascii="黑体" w:hAnsi="黑体" w:eastAsia="黑体" w:cs="黑体"/>
                <w:b/>
                <w:bCs/>
                <w:color w:val="auto"/>
                <w:szCs w:val="21"/>
                <w:highlight w:val="none"/>
                <w:lang w:eastAsia="zh-CN"/>
              </w:rPr>
            </w:pPr>
            <w:r>
              <w:rPr>
                <w:rFonts w:hint="eastAsia" w:ascii="黑体" w:hAnsi="黑体" w:eastAsia="黑体" w:cs="黑体"/>
                <w:b/>
                <w:bCs/>
                <w:color w:val="auto"/>
                <w:szCs w:val="21"/>
                <w:highlight w:val="none"/>
              </w:rPr>
              <w:t>时  间：</w:t>
            </w:r>
            <w:r>
              <w:rPr>
                <w:rFonts w:hint="eastAsia" w:ascii="黑体" w:hAnsi="黑体" w:eastAsia="黑体" w:cs="黑体"/>
                <w:b/>
                <w:bCs/>
                <w:color w:val="auto"/>
                <w:szCs w:val="21"/>
                <w:highlight w:val="none"/>
                <w:lang w:eastAsia="zh-CN"/>
              </w:rPr>
              <w:t>202</w:t>
            </w:r>
            <w:r>
              <w:rPr>
                <w:rFonts w:hint="eastAsia" w:ascii="黑体" w:hAnsi="黑体" w:eastAsia="黑体" w:cs="黑体"/>
                <w:b/>
                <w:bCs/>
                <w:color w:val="auto"/>
                <w:szCs w:val="21"/>
                <w:highlight w:val="none"/>
                <w:lang w:val="en-US" w:eastAsia="zh-CN"/>
              </w:rPr>
              <w:t>5</w:t>
            </w:r>
            <w:r>
              <w:rPr>
                <w:rFonts w:hint="eastAsia" w:ascii="黑体" w:hAnsi="黑体" w:eastAsia="黑体" w:cs="黑体"/>
                <w:b/>
                <w:bCs/>
                <w:color w:val="auto"/>
                <w:szCs w:val="21"/>
                <w:highlight w:val="none"/>
                <w:lang w:eastAsia="zh-CN"/>
              </w:rPr>
              <w:t>年</w:t>
            </w:r>
            <w:r>
              <w:rPr>
                <w:rFonts w:hint="eastAsia" w:ascii="黑体" w:hAnsi="黑体" w:eastAsia="黑体" w:cs="黑体"/>
                <w:b/>
                <w:bCs/>
                <w:color w:val="auto"/>
                <w:szCs w:val="21"/>
                <w:highlight w:val="none"/>
                <w:lang w:val="en-US" w:eastAsia="zh-CN"/>
              </w:rPr>
              <w:t>6</w:t>
            </w:r>
            <w:r>
              <w:rPr>
                <w:rFonts w:hint="eastAsia" w:ascii="黑体" w:hAnsi="黑体" w:eastAsia="黑体" w:cs="黑体"/>
                <w:b/>
                <w:bCs/>
                <w:color w:val="auto"/>
                <w:szCs w:val="21"/>
                <w:highlight w:val="none"/>
                <w:lang w:eastAsia="zh-CN"/>
              </w:rPr>
              <w:t>月</w:t>
            </w:r>
            <w:r>
              <w:rPr>
                <w:rFonts w:hint="eastAsia" w:ascii="黑体" w:hAnsi="黑体" w:eastAsia="黑体" w:cs="黑体"/>
                <w:b/>
                <w:bCs/>
                <w:color w:val="auto"/>
                <w:szCs w:val="21"/>
                <w:highlight w:val="none"/>
                <w:lang w:val="en-US" w:eastAsia="zh-CN"/>
              </w:rPr>
              <w:t>30</w:t>
            </w:r>
            <w:r>
              <w:rPr>
                <w:rFonts w:hint="eastAsia" w:ascii="黑体" w:hAnsi="黑体" w:eastAsia="黑体" w:cs="黑体"/>
                <w:b/>
                <w:bCs/>
                <w:color w:val="auto"/>
                <w:szCs w:val="21"/>
                <w:highlight w:val="none"/>
                <w:lang w:eastAsia="zh-CN"/>
              </w:rPr>
              <w:t>日</w:t>
            </w:r>
            <w:r>
              <w:rPr>
                <w:rFonts w:hint="eastAsia" w:ascii="黑体" w:hAnsi="黑体" w:eastAsia="黑体" w:cs="黑体"/>
                <w:b/>
                <w:bCs/>
                <w:color w:val="auto"/>
                <w:szCs w:val="21"/>
                <w:highlight w:val="none"/>
                <w:lang w:val="en-US" w:eastAsia="zh-CN"/>
              </w:rPr>
              <w:t>9</w:t>
            </w:r>
            <w:r>
              <w:rPr>
                <w:rFonts w:hint="eastAsia" w:ascii="黑体" w:hAnsi="黑体" w:eastAsia="黑体" w:cs="黑体"/>
                <w:b/>
                <w:bCs/>
                <w:color w:val="auto"/>
                <w:szCs w:val="21"/>
                <w:highlight w:val="none"/>
                <w:lang w:eastAsia="zh-CN"/>
              </w:rPr>
              <w:t>时00分</w:t>
            </w:r>
          </w:p>
          <w:p w14:paraId="0457ACC4">
            <w:pPr>
              <w:widowControl/>
              <w:spacing w:line="440" w:lineRule="exact"/>
              <w:jc w:val="left"/>
              <w:textAlignment w:val="baseline"/>
              <w:rPr>
                <w:rFonts w:ascii="黑体" w:hAnsi="黑体" w:eastAsia="黑体" w:cs="黑体"/>
                <w:b/>
                <w:bCs/>
                <w:color w:val="auto"/>
                <w:szCs w:val="21"/>
                <w:highlight w:val="none"/>
              </w:rPr>
            </w:pPr>
            <w:r>
              <w:rPr>
                <w:rFonts w:hint="eastAsia" w:ascii="黑体" w:hAnsi="黑体" w:eastAsia="黑体" w:cs="黑体"/>
                <w:b/>
                <w:bCs/>
                <w:color w:val="auto"/>
                <w:szCs w:val="21"/>
                <w:highlight w:val="none"/>
              </w:rPr>
              <w:t>地  点：滁州市丰乐大道1899号皖东国际车城A区写字楼A6栋3楼</w:t>
            </w:r>
          </w:p>
        </w:tc>
      </w:tr>
      <w:tr w14:paraId="12B8D0C7">
        <w:tblPrEx>
          <w:tblCellMar>
            <w:top w:w="0" w:type="dxa"/>
            <w:left w:w="0" w:type="dxa"/>
            <w:bottom w:w="0" w:type="dxa"/>
            <w:right w:w="0" w:type="dxa"/>
          </w:tblCellMar>
        </w:tblPrEx>
        <w:trPr>
          <w:trHeight w:val="444" w:hRule="atLeast"/>
          <w:jc w:val="center"/>
        </w:trPr>
        <w:tc>
          <w:tcPr>
            <w:tcW w:w="802" w:type="dxa"/>
            <w:tcBorders>
              <w:top w:val="single" w:color="auto" w:sz="8" w:space="0"/>
              <w:left w:val="single" w:color="auto" w:sz="8" w:space="0"/>
              <w:bottom w:val="single" w:color="auto" w:sz="8" w:space="0"/>
              <w:right w:val="single" w:color="auto" w:sz="8" w:space="0"/>
            </w:tcBorders>
            <w:vAlign w:val="center"/>
          </w:tcPr>
          <w:p w14:paraId="30A54719">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1461" w:type="dxa"/>
            <w:tcBorders>
              <w:top w:val="single" w:color="auto" w:sz="8" w:space="0"/>
              <w:left w:val="single" w:color="auto" w:sz="4" w:space="0"/>
              <w:bottom w:val="single" w:color="auto" w:sz="8" w:space="0"/>
              <w:right w:val="single" w:color="auto" w:sz="4" w:space="0"/>
            </w:tcBorders>
            <w:vAlign w:val="center"/>
          </w:tcPr>
          <w:p w14:paraId="4FA552C3">
            <w:pPr>
              <w:spacing w:line="440" w:lineRule="exact"/>
              <w:jc w:val="center"/>
              <w:rPr>
                <w:rFonts w:ascii="黑体" w:hAnsi="黑体" w:eastAsia="黑体" w:cs="黑体"/>
                <w:b/>
                <w:bCs/>
                <w:color w:val="auto"/>
                <w:kern w:val="0"/>
                <w:szCs w:val="21"/>
                <w:highlight w:val="none"/>
              </w:rPr>
            </w:pPr>
            <w:r>
              <w:rPr>
                <w:rFonts w:hint="eastAsia" w:ascii="黑体" w:hAnsi="黑体" w:eastAsia="黑体" w:cs="黑体"/>
                <w:b/>
                <w:bCs/>
                <w:color w:val="auto"/>
                <w:kern w:val="0"/>
                <w:szCs w:val="21"/>
                <w:highlight w:val="none"/>
              </w:rPr>
              <w:t>开  标</w:t>
            </w:r>
          </w:p>
        </w:tc>
        <w:tc>
          <w:tcPr>
            <w:tcW w:w="7855" w:type="dxa"/>
            <w:tcBorders>
              <w:top w:val="single" w:color="auto" w:sz="8" w:space="0"/>
              <w:left w:val="single" w:color="auto" w:sz="4" w:space="0"/>
              <w:bottom w:val="single" w:color="auto" w:sz="8" w:space="0"/>
              <w:right w:val="single" w:color="auto" w:sz="8" w:space="0"/>
            </w:tcBorders>
            <w:vAlign w:val="center"/>
          </w:tcPr>
          <w:p w14:paraId="1464E406">
            <w:pPr>
              <w:spacing w:line="440" w:lineRule="exact"/>
              <w:rPr>
                <w:rFonts w:hint="eastAsia" w:ascii="黑体" w:hAnsi="黑体" w:eastAsia="黑体" w:cs="黑体"/>
                <w:b/>
                <w:bCs/>
                <w:color w:val="auto"/>
                <w:szCs w:val="21"/>
                <w:highlight w:val="none"/>
                <w:lang w:eastAsia="zh-CN"/>
              </w:rPr>
            </w:pPr>
            <w:r>
              <w:rPr>
                <w:rFonts w:hint="eastAsia" w:ascii="黑体" w:hAnsi="黑体" w:eastAsia="黑体" w:cs="黑体"/>
                <w:b/>
                <w:bCs/>
                <w:color w:val="auto"/>
                <w:kern w:val="0"/>
                <w:szCs w:val="21"/>
                <w:highlight w:val="none"/>
              </w:rPr>
              <w:t>开标时间：</w:t>
            </w:r>
            <w:r>
              <w:rPr>
                <w:rFonts w:hint="eastAsia" w:ascii="黑体" w:hAnsi="黑体" w:eastAsia="黑体" w:cs="黑体"/>
                <w:b/>
                <w:bCs/>
                <w:color w:val="auto"/>
                <w:szCs w:val="21"/>
                <w:highlight w:val="none"/>
                <w:lang w:eastAsia="zh-CN"/>
              </w:rPr>
              <w:t>202</w:t>
            </w:r>
            <w:r>
              <w:rPr>
                <w:rFonts w:hint="eastAsia" w:ascii="黑体" w:hAnsi="黑体" w:eastAsia="黑体" w:cs="黑体"/>
                <w:b/>
                <w:bCs/>
                <w:color w:val="auto"/>
                <w:szCs w:val="21"/>
                <w:highlight w:val="none"/>
                <w:lang w:val="en-US" w:eastAsia="zh-CN"/>
              </w:rPr>
              <w:t>5</w:t>
            </w:r>
            <w:r>
              <w:rPr>
                <w:rFonts w:hint="eastAsia" w:ascii="黑体" w:hAnsi="黑体" w:eastAsia="黑体" w:cs="黑体"/>
                <w:b/>
                <w:bCs/>
                <w:color w:val="auto"/>
                <w:szCs w:val="21"/>
                <w:highlight w:val="none"/>
                <w:lang w:eastAsia="zh-CN"/>
              </w:rPr>
              <w:t>年</w:t>
            </w:r>
            <w:r>
              <w:rPr>
                <w:rFonts w:hint="eastAsia" w:ascii="黑体" w:hAnsi="黑体" w:eastAsia="黑体" w:cs="黑体"/>
                <w:b/>
                <w:bCs/>
                <w:color w:val="auto"/>
                <w:szCs w:val="21"/>
                <w:highlight w:val="none"/>
                <w:lang w:val="en-US" w:eastAsia="zh-CN"/>
              </w:rPr>
              <w:t>6</w:t>
            </w:r>
            <w:r>
              <w:rPr>
                <w:rFonts w:hint="eastAsia" w:ascii="黑体" w:hAnsi="黑体" w:eastAsia="黑体" w:cs="黑体"/>
                <w:b/>
                <w:bCs/>
                <w:color w:val="auto"/>
                <w:szCs w:val="21"/>
                <w:highlight w:val="none"/>
                <w:lang w:eastAsia="zh-CN"/>
              </w:rPr>
              <w:t>月</w:t>
            </w:r>
            <w:r>
              <w:rPr>
                <w:rFonts w:hint="eastAsia" w:ascii="黑体" w:hAnsi="黑体" w:eastAsia="黑体" w:cs="黑体"/>
                <w:b/>
                <w:bCs/>
                <w:color w:val="auto"/>
                <w:szCs w:val="21"/>
                <w:highlight w:val="none"/>
                <w:lang w:val="en-US" w:eastAsia="zh-CN"/>
              </w:rPr>
              <w:t>30</w:t>
            </w:r>
            <w:r>
              <w:rPr>
                <w:rFonts w:hint="eastAsia" w:ascii="黑体" w:hAnsi="黑体" w:eastAsia="黑体" w:cs="黑体"/>
                <w:b/>
                <w:bCs/>
                <w:color w:val="auto"/>
                <w:szCs w:val="21"/>
                <w:highlight w:val="none"/>
                <w:lang w:eastAsia="zh-CN"/>
              </w:rPr>
              <w:t>日</w:t>
            </w:r>
            <w:r>
              <w:rPr>
                <w:rFonts w:hint="eastAsia" w:ascii="黑体" w:hAnsi="黑体" w:eastAsia="黑体" w:cs="黑体"/>
                <w:b/>
                <w:bCs/>
                <w:color w:val="auto"/>
                <w:szCs w:val="21"/>
                <w:highlight w:val="none"/>
                <w:lang w:val="en-US" w:eastAsia="zh-CN"/>
              </w:rPr>
              <w:t>9</w:t>
            </w:r>
            <w:r>
              <w:rPr>
                <w:rFonts w:hint="eastAsia" w:ascii="黑体" w:hAnsi="黑体" w:eastAsia="黑体" w:cs="黑体"/>
                <w:b/>
                <w:bCs/>
                <w:color w:val="auto"/>
                <w:szCs w:val="21"/>
                <w:highlight w:val="none"/>
                <w:lang w:eastAsia="zh-CN"/>
              </w:rPr>
              <w:t>时00分</w:t>
            </w:r>
          </w:p>
          <w:p w14:paraId="7D8C8435">
            <w:pPr>
              <w:widowControl/>
              <w:spacing w:line="440" w:lineRule="exact"/>
              <w:jc w:val="left"/>
              <w:textAlignment w:val="baseline"/>
              <w:rPr>
                <w:rFonts w:ascii="黑体" w:hAnsi="黑体" w:eastAsia="黑体" w:cs="黑体"/>
                <w:b/>
                <w:bCs/>
                <w:color w:val="auto"/>
                <w:szCs w:val="21"/>
                <w:highlight w:val="none"/>
                <w:u w:val="single"/>
              </w:rPr>
            </w:pPr>
            <w:r>
              <w:rPr>
                <w:rFonts w:hint="eastAsia" w:ascii="黑体" w:hAnsi="黑体" w:eastAsia="黑体" w:cs="黑体"/>
                <w:b/>
                <w:bCs/>
                <w:color w:val="auto"/>
                <w:kern w:val="0"/>
                <w:szCs w:val="21"/>
                <w:highlight w:val="none"/>
              </w:rPr>
              <w:t>开标地点：</w:t>
            </w:r>
            <w:r>
              <w:rPr>
                <w:rFonts w:hint="eastAsia" w:ascii="黑体" w:hAnsi="黑体" w:eastAsia="黑体" w:cs="黑体"/>
                <w:b/>
                <w:bCs/>
                <w:color w:val="auto"/>
                <w:szCs w:val="21"/>
                <w:highlight w:val="none"/>
              </w:rPr>
              <w:t>滁州市丰乐大道1899号皖东国际车城A区写字楼A6栋3楼</w:t>
            </w:r>
          </w:p>
        </w:tc>
      </w:tr>
      <w:tr w14:paraId="0C9DD495">
        <w:tblPrEx>
          <w:tblCellMar>
            <w:top w:w="0" w:type="dxa"/>
            <w:left w:w="0" w:type="dxa"/>
            <w:bottom w:w="0" w:type="dxa"/>
            <w:right w:w="0" w:type="dxa"/>
          </w:tblCellMar>
        </w:tblPrEx>
        <w:trPr>
          <w:trHeight w:val="37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572E2EF2">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1461" w:type="dxa"/>
            <w:tcBorders>
              <w:top w:val="single" w:color="auto" w:sz="4" w:space="0"/>
              <w:left w:val="single" w:color="auto" w:sz="4" w:space="0"/>
              <w:bottom w:val="single" w:color="auto" w:sz="4" w:space="0"/>
              <w:right w:val="single" w:color="auto" w:sz="4" w:space="0"/>
            </w:tcBorders>
            <w:vAlign w:val="center"/>
          </w:tcPr>
          <w:p w14:paraId="21CBCCC9">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中标价</w:t>
            </w:r>
          </w:p>
        </w:tc>
        <w:tc>
          <w:tcPr>
            <w:tcW w:w="7855" w:type="dxa"/>
            <w:tcBorders>
              <w:top w:val="single" w:color="auto" w:sz="4" w:space="0"/>
              <w:left w:val="single" w:color="auto" w:sz="4" w:space="0"/>
              <w:bottom w:val="single" w:color="auto" w:sz="4" w:space="0"/>
              <w:right w:val="single" w:color="auto" w:sz="8" w:space="0"/>
            </w:tcBorders>
            <w:vAlign w:val="center"/>
          </w:tcPr>
          <w:p w14:paraId="227C10D1">
            <w:pPr>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在评标中经过修正的中标单位的投标总报价作为中标价，中标价即为合同价。本项目采用固定单价合同，中标后所报单价不予调整。</w:t>
            </w:r>
          </w:p>
        </w:tc>
      </w:tr>
      <w:tr w14:paraId="0ACF4965">
        <w:tblPrEx>
          <w:tblCellMar>
            <w:top w:w="0" w:type="dxa"/>
            <w:left w:w="0" w:type="dxa"/>
            <w:bottom w:w="0" w:type="dxa"/>
            <w:right w:w="0" w:type="dxa"/>
          </w:tblCellMar>
        </w:tblPrEx>
        <w:trPr>
          <w:trHeight w:val="37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1DF10384">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1461" w:type="dxa"/>
            <w:tcBorders>
              <w:top w:val="single" w:color="auto" w:sz="4" w:space="0"/>
              <w:left w:val="single" w:color="auto" w:sz="4" w:space="0"/>
              <w:bottom w:val="single" w:color="auto" w:sz="4" w:space="0"/>
              <w:right w:val="single" w:color="auto" w:sz="4" w:space="0"/>
            </w:tcBorders>
            <w:vAlign w:val="center"/>
          </w:tcPr>
          <w:p w14:paraId="422098F3">
            <w:pPr>
              <w:pStyle w:val="13"/>
              <w:spacing w:line="440" w:lineRule="exact"/>
              <w:jc w:val="center"/>
              <w:rPr>
                <w:rFonts w:hAnsi="宋体" w:cs="宋体"/>
                <w:color w:val="auto"/>
                <w:szCs w:val="21"/>
                <w:highlight w:val="none"/>
              </w:rPr>
            </w:pPr>
            <w:r>
              <w:rPr>
                <w:rFonts w:hint="eastAsia" w:hAnsi="宋体" w:cs="宋体"/>
                <w:color w:val="auto"/>
                <w:szCs w:val="21"/>
                <w:highlight w:val="none"/>
              </w:rPr>
              <w:t>评标委员会</w:t>
            </w:r>
          </w:p>
          <w:p w14:paraId="77986C61">
            <w:pPr>
              <w:pStyle w:val="13"/>
              <w:spacing w:line="440" w:lineRule="exact"/>
              <w:jc w:val="center"/>
              <w:rPr>
                <w:rFonts w:hAnsi="宋体" w:cs="宋体"/>
                <w:color w:val="auto"/>
                <w:kern w:val="0"/>
                <w:szCs w:val="21"/>
                <w:highlight w:val="none"/>
              </w:rPr>
            </w:pPr>
            <w:r>
              <w:rPr>
                <w:rFonts w:hint="eastAsia" w:hAnsi="宋体" w:cs="宋体"/>
                <w:color w:val="auto"/>
                <w:szCs w:val="21"/>
                <w:highlight w:val="none"/>
              </w:rPr>
              <w:t>会的组建</w:t>
            </w:r>
          </w:p>
        </w:tc>
        <w:tc>
          <w:tcPr>
            <w:tcW w:w="7855" w:type="dxa"/>
            <w:tcBorders>
              <w:top w:val="single" w:color="auto" w:sz="4" w:space="0"/>
              <w:left w:val="single" w:color="auto" w:sz="4" w:space="0"/>
              <w:bottom w:val="single" w:color="auto" w:sz="4" w:space="0"/>
              <w:right w:val="single" w:color="auto" w:sz="8" w:space="0"/>
            </w:tcBorders>
            <w:vAlign w:val="center"/>
          </w:tcPr>
          <w:p w14:paraId="2D82B7BB">
            <w:pPr>
              <w:pStyle w:val="13"/>
              <w:spacing w:line="440" w:lineRule="exact"/>
              <w:rPr>
                <w:rFonts w:hAnsi="宋体" w:cs="宋体"/>
                <w:color w:val="auto"/>
                <w:kern w:val="0"/>
                <w:szCs w:val="21"/>
                <w:highlight w:val="none"/>
              </w:rPr>
            </w:pPr>
            <w:r>
              <w:rPr>
                <w:rFonts w:hint="eastAsia" w:hAnsi="宋体" w:cs="宋体"/>
                <w:color w:val="auto"/>
                <w:szCs w:val="21"/>
                <w:highlight w:val="none"/>
              </w:rPr>
              <w:t>评标委员会由5名专家评委组建；</w:t>
            </w:r>
          </w:p>
        </w:tc>
      </w:tr>
      <w:tr w14:paraId="2B1FE6BE">
        <w:tblPrEx>
          <w:tblCellMar>
            <w:top w:w="0" w:type="dxa"/>
            <w:left w:w="0" w:type="dxa"/>
            <w:bottom w:w="0" w:type="dxa"/>
            <w:right w:w="0" w:type="dxa"/>
          </w:tblCellMar>
        </w:tblPrEx>
        <w:trPr>
          <w:trHeight w:val="37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4D3F4D9B">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1461" w:type="dxa"/>
            <w:tcBorders>
              <w:top w:val="single" w:color="auto" w:sz="4" w:space="0"/>
              <w:left w:val="single" w:color="auto" w:sz="4" w:space="0"/>
              <w:bottom w:val="single" w:color="auto" w:sz="4" w:space="0"/>
              <w:right w:val="single" w:color="auto" w:sz="4" w:space="0"/>
            </w:tcBorders>
            <w:vAlign w:val="center"/>
          </w:tcPr>
          <w:p w14:paraId="109109B4">
            <w:pPr>
              <w:pStyle w:val="13"/>
              <w:wordWrap w:val="0"/>
              <w:spacing w:line="440" w:lineRule="exact"/>
              <w:jc w:val="center"/>
              <w:rPr>
                <w:rFonts w:hAnsi="宋体" w:cs="宋体"/>
                <w:b/>
                <w:bCs/>
                <w:color w:val="auto"/>
                <w:szCs w:val="21"/>
                <w:highlight w:val="none"/>
              </w:rPr>
            </w:pPr>
            <w:r>
              <w:rPr>
                <w:rFonts w:hint="eastAsia" w:hAnsi="宋体" w:cs="宋体"/>
                <w:color w:val="auto"/>
                <w:szCs w:val="21"/>
                <w:highlight w:val="none"/>
              </w:rPr>
              <w:t>是否授权评标委员会确定中标候选人</w:t>
            </w:r>
          </w:p>
        </w:tc>
        <w:tc>
          <w:tcPr>
            <w:tcW w:w="7855" w:type="dxa"/>
            <w:tcBorders>
              <w:top w:val="single" w:color="auto" w:sz="4" w:space="0"/>
              <w:left w:val="single" w:color="auto" w:sz="4" w:space="0"/>
              <w:bottom w:val="single" w:color="auto" w:sz="4" w:space="0"/>
              <w:right w:val="single" w:color="auto" w:sz="8" w:space="0"/>
            </w:tcBorders>
            <w:vAlign w:val="center"/>
          </w:tcPr>
          <w:p w14:paraId="272E026D">
            <w:pPr>
              <w:pStyle w:val="13"/>
              <w:wordWrap w:val="0"/>
              <w:spacing w:line="440" w:lineRule="exact"/>
              <w:rPr>
                <w:rFonts w:hAnsi="宋体" w:cs="宋体"/>
                <w:b/>
                <w:bCs/>
                <w:color w:val="auto"/>
                <w:szCs w:val="21"/>
                <w:highlight w:val="none"/>
              </w:rPr>
            </w:pPr>
            <w:r>
              <w:rPr>
                <w:rFonts w:hint="eastAsia" w:hAnsi="宋体" w:cs="宋体"/>
                <w:color w:val="auto"/>
                <w:szCs w:val="21"/>
                <w:highlight w:val="none"/>
              </w:rPr>
              <w:t>是，由评标委员会推荐3名中标候选人。</w:t>
            </w:r>
          </w:p>
        </w:tc>
      </w:tr>
      <w:tr w14:paraId="23AFC0DB">
        <w:tblPrEx>
          <w:tblCellMar>
            <w:top w:w="0" w:type="dxa"/>
            <w:left w:w="0" w:type="dxa"/>
            <w:bottom w:w="0" w:type="dxa"/>
            <w:right w:w="0" w:type="dxa"/>
          </w:tblCellMar>
        </w:tblPrEx>
        <w:trPr>
          <w:trHeight w:val="37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01E3C405">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1461" w:type="dxa"/>
            <w:tcBorders>
              <w:top w:val="single" w:color="auto" w:sz="4" w:space="0"/>
              <w:left w:val="single" w:color="auto" w:sz="4" w:space="0"/>
              <w:bottom w:val="single" w:color="auto" w:sz="4" w:space="0"/>
              <w:right w:val="single" w:color="auto" w:sz="4" w:space="0"/>
            </w:tcBorders>
            <w:vAlign w:val="center"/>
          </w:tcPr>
          <w:p w14:paraId="19E3A1C0">
            <w:pPr>
              <w:pStyle w:val="13"/>
              <w:wordWrap w:val="0"/>
              <w:spacing w:line="440" w:lineRule="exact"/>
              <w:jc w:val="center"/>
              <w:rPr>
                <w:rFonts w:hAnsi="宋体" w:cs="宋体"/>
                <w:color w:val="auto"/>
                <w:szCs w:val="21"/>
                <w:highlight w:val="none"/>
              </w:rPr>
            </w:pPr>
            <w:r>
              <w:rPr>
                <w:rFonts w:hint="eastAsia" w:hAnsi="宋体" w:cs="宋体"/>
                <w:color w:val="auto"/>
                <w:szCs w:val="21"/>
                <w:highlight w:val="none"/>
              </w:rPr>
              <w:t>中标候选人公示媒介</w:t>
            </w:r>
          </w:p>
        </w:tc>
        <w:tc>
          <w:tcPr>
            <w:tcW w:w="7855" w:type="dxa"/>
            <w:tcBorders>
              <w:top w:val="single" w:color="auto" w:sz="4" w:space="0"/>
              <w:left w:val="single" w:color="auto" w:sz="4" w:space="0"/>
              <w:bottom w:val="single" w:color="auto" w:sz="4" w:space="0"/>
              <w:right w:val="single" w:color="auto" w:sz="8" w:space="0"/>
            </w:tcBorders>
            <w:vAlign w:val="center"/>
          </w:tcPr>
          <w:p w14:paraId="4CC1037D">
            <w:pPr>
              <w:pStyle w:val="13"/>
              <w:wordWrap w:val="0"/>
              <w:spacing w:line="440" w:lineRule="exact"/>
              <w:rPr>
                <w:rFonts w:hAnsi="宋体" w:cs="宋体"/>
                <w:color w:val="auto"/>
                <w:szCs w:val="21"/>
                <w:highlight w:val="none"/>
              </w:rPr>
            </w:pPr>
            <w:r>
              <w:rPr>
                <w:rFonts w:hint="eastAsia" w:hAnsi="宋体" w:cs="宋体"/>
                <w:bCs/>
                <w:color w:val="auto"/>
                <w:kern w:val="0"/>
                <w:szCs w:val="21"/>
                <w:highlight w:val="none"/>
              </w:rPr>
              <w:t>滁州学院网站（http://zcc.chzu.edu.cn）资产与实验室管理处网页采购公告栏</w:t>
            </w:r>
          </w:p>
        </w:tc>
      </w:tr>
      <w:tr w14:paraId="487A8F09">
        <w:tblPrEx>
          <w:tblCellMar>
            <w:top w:w="0" w:type="dxa"/>
            <w:left w:w="0" w:type="dxa"/>
            <w:bottom w:w="0" w:type="dxa"/>
            <w:right w:w="0" w:type="dxa"/>
          </w:tblCellMar>
        </w:tblPrEx>
        <w:trPr>
          <w:trHeight w:val="37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2886615C">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1461" w:type="dxa"/>
            <w:tcBorders>
              <w:top w:val="single" w:color="auto" w:sz="4" w:space="0"/>
              <w:left w:val="single" w:color="auto" w:sz="4" w:space="0"/>
              <w:bottom w:val="single" w:color="auto" w:sz="4" w:space="0"/>
              <w:right w:val="single" w:color="auto" w:sz="4" w:space="0"/>
            </w:tcBorders>
            <w:vAlign w:val="center"/>
          </w:tcPr>
          <w:p w14:paraId="4651CB0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成交服务费</w:t>
            </w:r>
          </w:p>
        </w:tc>
        <w:tc>
          <w:tcPr>
            <w:tcW w:w="7855" w:type="dxa"/>
            <w:tcBorders>
              <w:top w:val="single" w:color="auto" w:sz="4" w:space="0"/>
              <w:left w:val="single" w:color="auto" w:sz="4" w:space="0"/>
              <w:bottom w:val="single" w:color="auto" w:sz="4" w:space="0"/>
              <w:right w:val="single" w:color="auto" w:sz="8" w:space="0"/>
            </w:tcBorders>
            <w:vAlign w:val="center"/>
          </w:tcPr>
          <w:p w14:paraId="4AE7C09C">
            <w:pPr>
              <w:spacing w:line="440" w:lineRule="exact"/>
              <w:rPr>
                <w:rFonts w:ascii="宋体" w:hAnsi="宋体" w:cs="宋体"/>
                <w:color w:val="auto"/>
                <w:szCs w:val="21"/>
                <w:highlight w:val="none"/>
              </w:rPr>
            </w:pPr>
            <w:r>
              <w:rPr>
                <w:rFonts w:hint="eastAsia" w:ascii="宋体" w:hAnsi="宋体" w:cs="宋体"/>
                <w:bCs/>
                <w:color w:val="auto"/>
                <w:szCs w:val="21"/>
                <w:highlight w:val="none"/>
              </w:rPr>
              <w:t>按照计价格[2002]1980 号文规定标准的80%向所代理项目的中标（成交）人收取采购代理服务费。上述费用由中标（成交）人在领取中标通知书前一次性支付给代理机构。</w:t>
            </w:r>
          </w:p>
          <w:p w14:paraId="37D5096C">
            <w:pPr>
              <w:spacing w:line="440" w:lineRule="exact"/>
              <w:rPr>
                <w:rFonts w:ascii="宋体" w:hAnsi="宋体" w:cs="宋体"/>
                <w:color w:val="auto"/>
                <w:szCs w:val="21"/>
                <w:highlight w:val="none"/>
              </w:rPr>
            </w:pPr>
            <w:r>
              <w:rPr>
                <w:rFonts w:hint="eastAsia" w:ascii="宋体" w:hAnsi="宋体" w:cs="宋体"/>
                <w:color w:val="auto"/>
                <w:szCs w:val="21"/>
                <w:highlight w:val="none"/>
              </w:rPr>
              <w:t>项目中标（成交）金额30万元以下，代理服务费不足3500元的小额项目，按3500元固定标准收取。项目为多包的小额项目，每包增加500元代理费。</w:t>
            </w:r>
          </w:p>
          <w:p w14:paraId="02D74B88">
            <w:pPr>
              <w:spacing w:line="440" w:lineRule="exact"/>
              <w:rPr>
                <w:rFonts w:ascii="宋体" w:hAnsi="宋体" w:cs="宋体"/>
                <w:color w:val="auto"/>
                <w:szCs w:val="21"/>
                <w:highlight w:val="none"/>
              </w:rPr>
            </w:pPr>
            <w:r>
              <w:rPr>
                <w:rFonts w:hint="eastAsia" w:ascii="宋体" w:hAnsi="宋体" w:cs="宋体"/>
                <w:color w:val="auto"/>
                <w:szCs w:val="21"/>
                <w:highlight w:val="none"/>
              </w:rPr>
              <w:t>备注：</w:t>
            </w:r>
          </w:p>
          <w:p w14:paraId="187944F9">
            <w:pPr>
              <w:spacing w:line="440" w:lineRule="exact"/>
              <w:rPr>
                <w:rFonts w:ascii="宋体" w:hAnsi="宋体" w:cs="宋体"/>
                <w:color w:val="auto"/>
                <w:szCs w:val="21"/>
                <w:highlight w:val="none"/>
              </w:rPr>
            </w:pPr>
            <w:r>
              <w:rPr>
                <w:rFonts w:hint="eastAsia" w:ascii="宋体" w:hAnsi="宋体" w:cs="宋体"/>
                <w:color w:val="auto"/>
                <w:szCs w:val="21"/>
                <w:highlight w:val="none"/>
              </w:rPr>
              <w:t>（1）采购项目所涉及开评标场地及会议、交通、住宿、评审、监督、进场交易、投诉质疑处理等一切相关延伸服务产生的费用均包含在代理服务费中。</w:t>
            </w:r>
          </w:p>
          <w:p w14:paraId="7F57D082">
            <w:pPr>
              <w:spacing w:line="440" w:lineRule="exact"/>
              <w:rPr>
                <w:rFonts w:ascii="宋体" w:hAnsi="宋体" w:cs="宋体"/>
                <w:color w:val="auto"/>
                <w:szCs w:val="21"/>
                <w:highlight w:val="none"/>
              </w:rPr>
            </w:pPr>
            <w:r>
              <w:rPr>
                <w:rFonts w:hint="eastAsia" w:ascii="宋体" w:hAnsi="宋体" w:cs="宋体"/>
                <w:color w:val="auto"/>
                <w:szCs w:val="21"/>
                <w:highlight w:val="none"/>
              </w:rPr>
              <w:t>（2）采购代理费向所代理项目的中标（成交）供应商收取，采购人不支付代理机构任何费用。供应商须自行考虑履约过程中存在的价格因素及相关风险。</w:t>
            </w:r>
          </w:p>
          <w:p w14:paraId="66E70A14">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（3）若项目一个包允许多家供应商中标（成交），则由同时中标（成交）人均摊代理服务费（四舍五入取整）；一招多年的服务项目以一个年度的中标（成交）金额计费。 </w:t>
            </w:r>
          </w:p>
        </w:tc>
      </w:tr>
      <w:tr w14:paraId="7A1FC569">
        <w:tblPrEx>
          <w:tblCellMar>
            <w:top w:w="0" w:type="dxa"/>
            <w:left w:w="0" w:type="dxa"/>
            <w:bottom w:w="0" w:type="dxa"/>
            <w:right w:w="0" w:type="dxa"/>
          </w:tblCellMar>
        </w:tblPrEx>
        <w:trPr>
          <w:trHeight w:val="67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20CE2A15">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27</w:t>
            </w:r>
          </w:p>
        </w:tc>
        <w:tc>
          <w:tcPr>
            <w:tcW w:w="1461" w:type="dxa"/>
            <w:tcBorders>
              <w:top w:val="single" w:color="auto" w:sz="4" w:space="0"/>
              <w:left w:val="single" w:color="auto" w:sz="4" w:space="0"/>
              <w:bottom w:val="single" w:color="auto" w:sz="4" w:space="0"/>
              <w:right w:val="single" w:color="auto" w:sz="4" w:space="0"/>
            </w:tcBorders>
            <w:vAlign w:val="center"/>
          </w:tcPr>
          <w:p w14:paraId="20312AFE">
            <w:pPr>
              <w:spacing w:line="440" w:lineRule="exact"/>
              <w:jc w:val="center"/>
              <w:rPr>
                <w:rFonts w:ascii="宋体" w:hAnsi="宋体" w:cs="宋体"/>
                <w:color w:val="auto"/>
                <w:kern w:val="0"/>
                <w:szCs w:val="21"/>
                <w:highlight w:val="none"/>
              </w:rPr>
            </w:pPr>
            <w:r>
              <w:rPr>
                <w:rFonts w:hint="eastAsia" w:ascii="宋体" w:hAnsi="宋体" w:cs="宋体"/>
                <w:bCs/>
                <w:color w:val="auto"/>
                <w:szCs w:val="21"/>
                <w:highlight w:val="none"/>
              </w:rPr>
              <w:t>履约担保</w:t>
            </w:r>
          </w:p>
        </w:tc>
        <w:tc>
          <w:tcPr>
            <w:tcW w:w="7855" w:type="dxa"/>
            <w:tcBorders>
              <w:top w:val="single" w:color="auto" w:sz="4" w:space="0"/>
              <w:left w:val="single" w:color="auto" w:sz="4" w:space="0"/>
              <w:bottom w:val="single" w:color="auto" w:sz="4" w:space="0"/>
              <w:right w:val="single" w:color="auto" w:sz="8" w:space="0"/>
            </w:tcBorders>
          </w:tcPr>
          <w:p w14:paraId="194B1111">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履约担保的形式：转账</w:t>
            </w:r>
          </w:p>
          <w:p w14:paraId="6FDA74E4">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履约担保的金额：中标价款的2.5%</w:t>
            </w:r>
          </w:p>
          <w:p w14:paraId="2AC3461E">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缴纳时间：签订合同前</w:t>
            </w:r>
          </w:p>
          <w:p w14:paraId="2065A6F8">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中标人在签订合同前需将中标价款2.5%的履约保证金交至学校指定账户，供货（服务）完成，经采购人验收合格后，一次性退还履约保证金。</w:t>
            </w:r>
          </w:p>
          <w:p w14:paraId="76C3492A">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单位：滁州学院</w:t>
            </w:r>
          </w:p>
          <w:p w14:paraId="3CDABEA1">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开户行：工行醉翁亭支行</w:t>
            </w:r>
          </w:p>
          <w:p w14:paraId="2ECFEF65">
            <w:pPr>
              <w:spacing w:line="440" w:lineRule="exact"/>
              <w:rPr>
                <w:rFonts w:ascii="宋体" w:hAnsi="宋体" w:cs="宋体"/>
                <w:color w:val="auto"/>
                <w:szCs w:val="21"/>
                <w:highlight w:val="none"/>
              </w:rPr>
            </w:pPr>
            <w:r>
              <w:rPr>
                <w:rFonts w:hint="eastAsia" w:ascii="宋体" w:hAnsi="宋体" w:cs="宋体"/>
                <w:color w:val="auto"/>
                <w:szCs w:val="21"/>
                <w:highlight w:val="none"/>
              </w:rPr>
              <w:t>账号：1313062809024904784</w:t>
            </w:r>
          </w:p>
        </w:tc>
      </w:tr>
      <w:tr w14:paraId="05414BCF">
        <w:tblPrEx>
          <w:tblCellMar>
            <w:top w:w="0" w:type="dxa"/>
            <w:left w:w="0" w:type="dxa"/>
            <w:bottom w:w="0" w:type="dxa"/>
            <w:right w:w="0" w:type="dxa"/>
          </w:tblCellMar>
        </w:tblPrEx>
        <w:trPr>
          <w:trHeight w:val="9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2FE5578A">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28</w:t>
            </w:r>
          </w:p>
        </w:tc>
        <w:tc>
          <w:tcPr>
            <w:tcW w:w="1461" w:type="dxa"/>
            <w:tcBorders>
              <w:top w:val="single" w:color="auto" w:sz="4" w:space="0"/>
              <w:left w:val="single" w:color="auto" w:sz="4" w:space="0"/>
              <w:bottom w:val="single" w:color="auto" w:sz="4" w:space="0"/>
              <w:right w:val="single" w:color="auto" w:sz="4" w:space="0"/>
            </w:tcBorders>
            <w:vAlign w:val="center"/>
          </w:tcPr>
          <w:p w14:paraId="0C5C0F7E">
            <w:pPr>
              <w:spacing w:line="44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付款方式</w:t>
            </w:r>
          </w:p>
        </w:tc>
        <w:tc>
          <w:tcPr>
            <w:tcW w:w="7855" w:type="dxa"/>
            <w:tcBorders>
              <w:top w:val="single" w:color="auto" w:sz="4" w:space="0"/>
              <w:left w:val="single" w:color="auto" w:sz="4" w:space="0"/>
              <w:bottom w:val="single" w:color="auto" w:sz="4" w:space="0"/>
              <w:right w:val="single" w:color="auto" w:sz="8" w:space="0"/>
            </w:tcBorders>
            <w:vAlign w:val="center"/>
          </w:tcPr>
          <w:p w14:paraId="42CB1DC1">
            <w:pPr>
              <w:autoSpaceDE w:val="0"/>
              <w:autoSpaceDN w:val="0"/>
              <w:adjustRightInd w:val="0"/>
              <w:spacing w:line="440" w:lineRule="exact"/>
              <w:jc w:val="left"/>
              <w:rPr>
                <w:rFonts w:ascii="宋体" w:hAnsi="宋体" w:cs="宋体"/>
                <w:b/>
                <w:bCs/>
                <w:color w:val="auto"/>
                <w:szCs w:val="21"/>
                <w:highlight w:val="none"/>
              </w:rPr>
            </w:pPr>
            <w:r>
              <w:rPr>
                <w:rFonts w:hint="eastAsia" w:ascii="宋体" w:hAnsi="宋体" w:cs="宋体"/>
                <w:b/>
                <w:bCs/>
                <w:color w:val="auto"/>
                <w:szCs w:val="21"/>
                <w:highlight w:val="none"/>
              </w:rPr>
              <w:t>供货</w:t>
            </w:r>
            <w:r>
              <w:rPr>
                <w:rFonts w:hint="eastAsia" w:ascii="宋体" w:hAnsi="宋体" w:cs="宋体"/>
                <w:b/>
                <w:bCs/>
                <w:color w:val="auto"/>
                <w:szCs w:val="21"/>
                <w:highlight w:val="none"/>
                <w:lang w:val="en-US" w:eastAsia="zh-CN"/>
              </w:rPr>
              <w:t>并安装</w:t>
            </w:r>
            <w:r>
              <w:rPr>
                <w:rFonts w:hint="eastAsia" w:ascii="宋体" w:hAnsi="宋体" w:cs="宋体"/>
                <w:b/>
                <w:bCs/>
                <w:color w:val="auto"/>
                <w:szCs w:val="21"/>
                <w:highlight w:val="none"/>
              </w:rPr>
              <w:t>完成，经验收合格后付全款。</w:t>
            </w:r>
          </w:p>
        </w:tc>
      </w:tr>
      <w:tr w14:paraId="599DE893">
        <w:tblPrEx>
          <w:tblCellMar>
            <w:top w:w="0" w:type="dxa"/>
            <w:left w:w="0" w:type="dxa"/>
            <w:bottom w:w="0" w:type="dxa"/>
            <w:right w:w="0" w:type="dxa"/>
          </w:tblCellMar>
        </w:tblPrEx>
        <w:trPr>
          <w:trHeight w:val="346"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3505FDBF">
            <w:pPr>
              <w:spacing w:line="440" w:lineRule="exact"/>
              <w:jc w:val="center"/>
              <w:rPr>
                <w:rFonts w:ascii="宋体" w:hAnsi="宋体" w:cs="宋体"/>
                <w:color w:val="auto"/>
                <w:kern w:val="0"/>
                <w:szCs w:val="21"/>
                <w:highlight w:val="none"/>
              </w:rPr>
            </w:pPr>
            <w:bookmarkStart w:id="44" w:name="_Toc16641"/>
            <w:r>
              <w:rPr>
                <w:rFonts w:hint="eastAsia" w:ascii="宋体" w:hAnsi="宋体" w:cs="宋体"/>
                <w:color w:val="auto"/>
                <w:kern w:val="0"/>
                <w:szCs w:val="21"/>
                <w:highlight w:val="none"/>
              </w:rPr>
              <w:t>29</w:t>
            </w:r>
          </w:p>
        </w:tc>
        <w:tc>
          <w:tcPr>
            <w:tcW w:w="1461" w:type="dxa"/>
            <w:tcBorders>
              <w:top w:val="single" w:color="auto" w:sz="4" w:space="0"/>
              <w:left w:val="single" w:color="auto" w:sz="4" w:space="0"/>
              <w:bottom w:val="single" w:color="auto" w:sz="4" w:space="0"/>
              <w:right w:val="single" w:color="auto" w:sz="4" w:space="0"/>
            </w:tcBorders>
            <w:vAlign w:val="center"/>
          </w:tcPr>
          <w:p w14:paraId="41E44F0B">
            <w:pPr>
              <w:spacing w:line="440" w:lineRule="exact"/>
              <w:jc w:val="center"/>
              <w:rPr>
                <w:rFonts w:ascii="宋体" w:hAnsi="宋体" w:cs="宋体"/>
                <w:b/>
                <w:bCs/>
                <w:color w:val="auto"/>
                <w:kern w:val="0"/>
                <w:szCs w:val="21"/>
                <w:highlight w:val="none"/>
              </w:rPr>
            </w:pPr>
            <w:r>
              <w:rPr>
                <w:rFonts w:hint="eastAsia" w:ascii="宋体" w:hAnsi="宋体" w:cs="宋体"/>
                <w:color w:val="auto"/>
                <w:szCs w:val="21"/>
                <w:highlight w:val="none"/>
              </w:rPr>
              <w:t>备注</w:t>
            </w:r>
          </w:p>
        </w:tc>
        <w:tc>
          <w:tcPr>
            <w:tcW w:w="7855" w:type="dxa"/>
            <w:tcBorders>
              <w:top w:val="single" w:color="auto" w:sz="4" w:space="0"/>
              <w:left w:val="single" w:color="auto" w:sz="4" w:space="0"/>
              <w:bottom w:val="single" w:color="auto" w:sz="4" w:space="0"/>
              <w:right w:val="single" w:color="auto" w:sz="8" w:space="0"/>
            </w:tcBorders>
            <w:vAlign w:val="center"/>
          </w:tcPr>
          <w:p w14:paraId="6EB93DD9">
            <w:pPr>
              <w:spacing w:line="440" w:lineRule="exact"/>
              <w:rPr>
                <w:rFonts w:ascii="宋体" w:hAnsi="宋体" w:cs="宋体"/>
                <w:color w:val="auto"/>
                <w:kern w:val="0"/>
                <w:szCs w:val="21"/>
                <w:highlight w:val="none"/>
                <w:u w:color="000000"/>
              </w:rPr>
            </w:pPr>
            <w:r>
              <w:rPr>
                <w:rFonts w:hint="eastAsia" w:ascii="宋体" w:hAnsi="宋体" w:cs="宋体"/>
                <w:color w:val="auto"/>
                <w:kern w:val="0"/>
                <w:szCs w:val="21"/>
                <w:highlight w:val="none"/>
                <w:u w:color="000000"/>
              </w:rPr>
              <w:t>①本项目的法定代表人（或委托代理人）必须按照本文件要求的时间、地点手持身份证原件参加开标会议，否则其投标文件将被拒绝。</w:t>
            </w:r>
          </w:p>
          <w:p w14:paraId="53869A67">
            <w:pPr>
              <w:spacing w:line="440" w:lineRule="exact"/>
              <w:rPr>
                <w:rFonts w:ascii="宋体" w:hAnsi="宋体" w:cs="宋体"/>
                <w:color w:val="auto"/>
                <w:kern w:val="0"/>
                <w:szCs w:val="21"/>
                <w:highlight w:val="none"/>
                <w:u w:color="000000"/>
              </w:rPr>
            </w:pPr>
            <w:r>
              <w:rPr>
                <w:rFonts w:hint="eastAsia" w:ascii="宋体" w:hAnsi="宋体" w:cs="宋体"/>
                <w:color w:val="auto"/>
                <w:kern w:val="0"/>
                <w:szCs w:val="21"/>
                <w:highlight w:val="none"/>
                <w:u w:color="000000"/>
              </w:rPr>
              <w:t>②本采购文件前后条款若有不一致之处，在澄清答疑时又未作出明确时，各投标供应商的投标文件只要满足其中任一条款均视为对采购文件的响应。</w:t>
            </w:r>
          </w:p>
          <w:p w14:paraId="6DDE42E6">
            <w:pPr>
              <w:spacing w:line="440" w:lineRule="exact"/>
              <w:rPr>
                <w:rFonts w:ascii="宋体" w:hAnsi="宋体" w:cs="宋体"/>
                <w:color w:val="auto"/>
                <w:kern w:val="0"/>
                <w:szCs w:val="21"/>
                <w:highlight w:val="none"/>
                <w:u w:color="000000"/>
              </w:rPr>
            </w:pPr>
            <w:r>
              <w:rPr>
                <w:rFonts w:hint="eastAsia" w:ascii="宋体" w:hAnsi="宋体" w:cs="宋体"/>
                <w:color w:val="auto"/>
                <w:kern w:val="0"/>
                <w:szCs w:val="21"/>
                <w:highlight w:val="none"/>
                <w:u w:color="000000"/>
              </w:rPr>
              <w:t>③评标委员会只依靠供应商递交的投标文件及其按照采购文件要求提供的所有证明材料进行评审，而不依靠任何外来的证明材料。</w:t>
            </w:r>
          </w:p>
          <w:p w14:paraId="02B95776">
            <w:pPr>
              <w:spacing w:line="440" w:lineRule="exact"/>
              <w:rPr>
                <w:rFonts w:ascii="宋体" w:hAnsi="宋体" w:cs="宋体"/>
                <w:color w:val="auto"/>
                <w:kern w:val="0"/>
                <w:szCs w:val="21"/>
                <w:highlight w:val="none"/>
                <w:u w:color="000000"/>
              </w:rPr>
            </w:pPr>
            <w:r>
              <w:rPr>
                <w:rFonts w:hint="eastAsia" w:ascii="宋体" w:hAnsi="宋体" w:cs="宋体"/>
                <w:color w:val="auto"/>
                <w:kern w:val="0"/>
                <w:szCs w:val="21"/>
                <w:highlight w:val="none"/>
                <w:u w:color="000000"/>
              </w:rPr>
              <w:t>④</w:t>
            </w:r>
            <w:r>
              <w:rPr>
                <w:rFonts w:hint="eastAsia" w:ascii="宋体" w:hAnsi="宋体" w:cs="宋体"/>
                <w:color w:val="auto"/>
                <w:szCs w:val="21"/>
                <w:highlight w:val="none"/>
              </w:rPr>
              <w:t>投标供应商对采购文件内容有疑问的，须在采购文件规定的质疑截止时间前，向采购人（或代理机构）提出询问或者质疑，未在规定质疑截止时间内提出异议的，该质疑不予受理，并视同投标供应商认可采购文件所有内容。</w:t>
            </w:r>
          </w:p>
          <w:p w14:paraId="1B5CFE8B">
            <w:pPr>
              <w:spacing w:line="440" w:lineRule="exact"/>
              <w:rPr>
                <w:rFonts w:ascii="宋体" w:hAnsi="宋体" w:cs="宋体"/>
                <w:color w:val="auto"/>
                <w:szCs w:val="21"/>
                <w:highlight w:val="none"/>
              </w:rPr>
            </w:pPr>
            <w:r>
              <w:rPr>
                <w:rFonts w:hint="eastAsia" w:ascii="宋体" w:hAnsi="宋体" w:cs="宋体"/>
                <w:color w:val="auto"/>
                <w:kern w:val="0"/>
                <w:szCs w:val="21"/>
                <w:highlight w:val="none"/>
                <w:u w:color="000000"/>
              </w:rPr>
              <w:t xml:space="preserve">⑤本文件的最终解释权归采购人、采购代理机构所有。 </w:t>
            </w:r>
          </w:p>
        </w:tc>
      </w:tr>
      <w:tr w14:paraId="01377C3B">
        <w:tblPrEx>
          <w:tblCellMar>
            <w:top w:w="0" w:type="dxa"/>
            <w:left w:w="0" w:type="dxa"/>
            <w:bottom w:w="0" w:type="dxa"/>
            <w:right w:w="0" w:type="dxa"/>
          </w:tblCellMar>
        </w:tblPrEx>
        <w:trPr>
          <w:trHeight w:val="90" w:hRule="atLeast"/>
          <w:jc w:val="center"/>
        </w:trPr>
        <w:tc>
          <w:tcPr>
            <w:tcW w:w="802" w:type="dxa"/>
            <w:tcBorders>
              <w:top w:val="single" w:color="auto" w:sz="4" w:space="0"/>
              <w:left w:val="single" w:color="auto" w:sz="8" w:space="0"/>
              <w:bottom w:val="single" w:color="auto" w:sz="4" w:space="0"/>
              <w:right w:val="single" w:color="auto" w:sz="8" w:space="0"/>
            </w:tcBorders>
            <w:vAlign w:val="center"/>
          </w:tcPr>
          <w:p w14:paraId="19F02439">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461" w:type="dxa"/>
            <w:tcBorders>
              <w:top w:val="single" w:color="auto" w:sz="4" w:space="0"/>
              <w:left w:val="single" w:color="auto" w:sz="4" w:space="0"/>
              <w:bottom w:val="single" w:color="auto" w:sz="4" w:space="0"/>
              <w:right w:val="single" w:color="auto" w:sz="4" w:space="0"/>
            </w:tcBorders>
            <w:vAlign w:val="center"/>
          </w:tcPr>
          <w:p w14:paraId="2CAA69DD">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业绩</w:t>
            </w:r>
          </w:p>
        </w:tc>
        <w:tc>
          <w:tcPr>
            <w:tcW w:w="7855" w:type="dxa"/>
            <w:tcBorders>
              <w:top w:val="single" w:color="auto" w:sz="4" w:space="0"/>
              <w:left w:val="single" w:color="auto" w:sz="4" w:space="0"/>
              <w:bottom w:val="single" w:color="auto" w:sz="4" w:space="0"/>
              <w:right w:val="single" w:color="auto" w:sz="8" w:space="0"/>
            </w:tcBorders>
            <w:vAlign w:val="center"/>
          </w:tcPr>
          <w:p w14:paraId="20ABFDE2">
            <w:pPr>
              <w:pStyle w:val="52"/>
              <w:spacing w:line="500" w:lineRule="exact"/>
              <w:rPr>
                <w:rFonts w:ascii="宋体" w:hAnsi="宋体" w:cs="宋体"/>
                <w:color w:val="auto"/>
                <w:kern w:val="0"/>
                <w:szCs w:val="21"/>
                <w:highlight w:val="none"/>
                <w:u w:color="000000"/>
              </w:rPr>
            </w:pPr>
            <w:r>
              <w:rPr>
                <w:rFonts w:hint="eastAsia" w:ascii="宋体" w:hAnsi="宋体" w:cs="宋体"/>
                <w:color w:val="auto"/>
                <w:szCs w:val="21"/>
                <w:highlight w:val="none"/>
              </w:rPr>
              <w:t>本项目将对排名第一的中标候选供应商经评标委员会评审认可的供应商业绩进行公示。</w:t>
            </w:r>
          </w:p>
        </w:tc>
      </w:tr>
    </w:tbl>
    <w:p w14:paraId="48A58E98">
      <w:pPr>
        <w:pageBreakBefore/>
        <w:spacing w:before="156" w:beforeLines="50" w:after="156" w:afterLines="50" w:line="440" w:lineRule="exact"/>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第一章  投标须知</w:t>
      </w:r>
      <w:bookmarkEnd w:id="44"/>
    </w:p>
    <w:p w14:paraId="125C28AD">
      <w:pPr>
        <w:spacing w:before="156" w:beforeLines="50" w:after="156" w:afterLines="50" w:line="440" w:lineRule="exact"/>
        <w:jc w:val="center"/>
        <w:outlineLvl w:val="1"/>
        <w:rPr>
          <w:rFonts w:ascii="宋体" w:hAnsi="宋体" w:cs="宋体"/>
          <w:b/>
          <w:bCs/>
          <w:color w:val="auto"/>
          <w:sz w:val="28"/>
          <w:szCs w:val="28"/>
          <w:highlight w:val="none"/>
        </w:rPr>
      </w:pPr>
      <w:bookmarkStart w:id="45" w:name="_Toc13704"/>
      <w:r>
        <w:rPr>
          <w:rFonts w:hint="eastAsia" w:ascii="宋体" w:hAnsi="宋体" w:cs="宋体"/>
          <w:b/>
          <w:bCs/>
          <w:color w:val="auto"/>
          <w:sz w:val="28"/>
          <w:szCs w:val="28"/>
          <w:highlight w:val="none"/>
        </w:rPr>
        <w:t>一、总  则</w:t>
      </w:r>
      <w:bookmarkEnd w:id="45"/>
    </w:p>
    <w:p w14:paraId="7491306A">
      <w:pPr>
        <w:spacing w:line="440" w:lineRule="exact"/>
        <w:ind w:firstLine="422" w:firstLineChars="200"/>
        <w:jc w:val="left"/>
        <w:outlineLvl w:val="2"/>
        <w:rPr>
          <w:rFonts w:ascii="宋体" w:hAnsi="宋体" w:cs="宋体"/>
          <w:b/>
          <w:bCs/>
          <w:color w:val="auto"/>
          <w:szCs w:val="21"/>
          <w:highlight w:val="none"/>
        </w:rPr>
      </w:pPr>
      <w:bookmarkStart w:id="46" w:name="_Toc23505"/>
      <w:r>
        <w:rPr>
          <w:rFonts w:hint="eastAsia" w:ascii="宋体" w:hAnsi="宋体" w:cs="宋体"/>
          <w:b/>
          <w:bCs/>
          <w:color w:val="auto"/>
          <w:szCs w:val="21"/>
          <w:highlight w:val="none"/>
        </w:rPr>
        <w:t>1. 项目概况</w:t>
      </w:r>
      <w:bookmarkEnd w:id="46"/>
    </w:p>
    <w:p w14:paraId="00FB3BDC">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1.1 本项目名称：</w:t>
      </w:r>
      <w:r>
        <w:rPr>
          <w:rFonts w:hint="eastAsia" w:ascii="宋体" w:hAnsi="宋体" w:cs="宋体"/>
          <w:color w:val="auto"/>
          <w:szCs w:val="21"/>
          <w:highlight w:val="none"/>
          <w:lang w:eastAsia="zh-CN"/>
        </w:rPr>
        <w:t>滁州学院2025年人工智能学院行政办公家具采购项目</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 xml:space="preserve">    </w:t>
      </w:r>
    </w:p>
    <w:p w14:paraId="41342962">
      <w:pPr>
        <w:spacing w:line="440" w:lineRule="exact"/>
        <w:ind w:firstLine="420" w:firstLineChars="200"/>
        <w:outlineLvl w:val="3"/>
        <w:rPr>
          <w:rFonts w:ascii="宋体" w:hAnsi="宋体" w:cs="宋体"/>
          <w:color w:val="auto"/>
          <w:kern w:val="0"/>
          <w:szCs w:val="21"/>
          <w:highlight w:val="none"/>
        </w:rPr>
      </w:pPr>
      <w:r>
        <w:rPr>
          <w:rFonts w:hint="eastAsia" w:ascii="宋体" w:hAnsi="宋体" w:cs="宋体"/>
          <w:color w:val="auto"/>
          <w:szCs w:val="21"/>
          <w:highlight w:val="none"/>
        </w:rPr>
        <w:t xml:space="preserve">1.2采购单位：资产与实验室管理处 </w:t>
      </w:r>
    </w:p>
    <w:p w14:paraId="092472DE">
      <w:pPr>
        <w:spacing w:line="440" w:lineRule="exact"/>
        <w:ind w:firstLine="422" w:firstLineChars="200"/>
        <w:jc w:val="left"/>
        <w:outlineLvl w:val="2"/>
        <w:rPr>
          <w:rFonts w:ascii="宋体" w:hAnsi="宋体" w:cs="宋体"/>
          <w:b/>
          <w:bCs/>
          <w:color w:val="auto"/>
          <w:szCs w:val="21"/>
          <w:highlight w:val="none"/>
        </w:rPr>
      </w:pPr>
      <w:bookmarkStart w:id="47" w:name="_Toc11148"/>
      <w:r>
        <w:rPr>
          <w:rFonts w:hint="eastAsia" w:ascii="宋体" w:hAnsi="宋体" w:cs="宋体"/>
          <w:b/>
          <w:bCs/>
          <w:color w:val="auto"/>
          <w:szCs w:val="21"/>
          <w:highlight w:val="none"/>
        </w:rPr>
        <w:t>2.项目投资</w:t>
      </w:r>
      <w:bookmarkEnd w:id="47"/>
    </w:p>
    <w:p w14:paraId="56575A8E">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2.1本项目投资约</w:t>
      </w:r>
      <w:r>
        <w:rPr>
          <w:rFonts w:hint="eastAsia" w:ascii="宋体" w:hAnsi="宋体" w:eastAsia="宋体" w:cs="宋体"/>
          <w:color w:val="auto"/>
          <w:szCs w:val="21"/>
          <w:highlight w:val="none"/>
        </w:rPr>
        <w:t>16192</w:t>
      </w:r>
      <w:r>
        <w:rPr>
          <w:rFonts w:hint="eastAsia" w:ascii="宋体" w:hAnsi="宋体" w:eastAsia="宋体" w:cs="宋体"/>
          <w:color w:val="auto"/>
          <w:szCs w:val="21"/>
          <w:highlight w:val="none"/>
          <w:lang w:val="en-US" w:eastAsia="zh-CN"/>
        </w:rPr>
        <w:t>0.00</w:t>
      </w:r>
      <w:r>
        <w:rPr>
          <w:rFonts w:hint="eastAsia" w:ascii="宋体" w:hAnsi="宋体" w:eastAsia="宋体" w:cs="宋体"/>
          <w:color w:val="auto"/>
          <w:szCs w:val="21"/>
          <w:highlight w:val="none"/>
        </w:rPr>
        <w:t>元。</w:t>
      </w:r>
    </w:p>
    <w:p w14:paraId="7039E45B">
      <w:pPr>
        <w:spacing w:line="440" w:lineRule="exact"/>
        <w:ind w:firstLine="422" w:firstLineChars="200"/>
        <w:jc w:val="left"/>
        <w:outlineLvl w:val="2"/>
        <w:rPr>
          <w:rFonts w:ascii="宋体" w:hAnsi="宋体" w:cs="宋体"/>
          <w:b/>
          <w:bCs/>
          <w:color w:val="auto"/>
          <w:szCs w:val="21"/>
          <w:highlight w:val="none"/>
        </w:rPr>
      </w:pPr>
      <w:bookmarkStart w:id="48" w:name="_Toc18951"/>
      <w:r>
        <w:rPr>
          <w:rFonts w:hint="eastAsia" w:ascii="宋体" w:hAnsi="宋体" w:cs="宋体"/>
          <w:b/>
          <w:bCs/>
          <w:color w:val="auto"/>
          <w:szCs w:val="21"/>
          <w:highlight w:val="none"/>
        </w:rPr>
        <w:t>3.招标范围</w:t>
      </w:r>
      <w:bookmarkEnd w:id="48"/>
    </w:p>
    <w:p w14:paraId="77FA710A">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3.1详见采购文件采购需求。</w:t>
      </w:r>
    </w:p>
    <w:p w14:paraId="5DCF81BF">
      <w:pPr>
        <w:spacing w:line="440" w:lineRule="exact"/>
        <w:ind w:firstLine="422" w:firstLineChars="200"/>
        <w:jc w:val="left"/>
        <w:outlineLvl w:val="2"/>
        <w:rPr>
          <w:rFonts w:ascii="宋体" w:hAnsi="宋体" w:cs="宋体"/>
          <w:b/>
          <w:bCs/>
          <w:color w:val="auto"/>
          <w:szCs w:val="21"/>
          <w:highlight w:val="none"/>
        </w:rPr>
      </w:pPr>
      <w:bookmarkStart w:id="49" w:name="_Toc1347"/>
      <w:r>
        <w:rPr>
          <w:rFonts w:hint="eastAsia" w:ascii="宋体" w:hAnsi="宋体" w:cs="宋体"/>
          <w:b/>
          <w:bCs/>
          <w:color w:val="auto"/>
          <w:szCs w:val="21"/>
          <w:highlight w:val="none"/>
        </w:rPr>
        <w:t>4.服务期限</w:t>
      </w:r>
      <w:bookmarkEnd w:id="49"/>
    </w:p>
    <w:p w14:paraId="7CB152A0">
      <w:pPr>
        <w:spacing w:line="440" w:lineRule="exact"/>
        <w:ind w:firstLine="420" w:firstLineChars="200"/>
        <w:jc w:val="left"/>
        <w:outlineLvl w:val="3"/>
        <w:rPr>
          <w:rFonts w:hint="eastAsia" w:ascii="宋体" w:hAnsi="宋体" w:cs="宋体"/>
          <w:color w:val="auto"/>
          <w:szCs w:val="21"/>
          <w:highlight w:val="none"/>
        </w:rPr>
      </w:pPr>
      <w:r>
        <w:rPr>
          <w:rFonts w:hint="eastAsia" w:ascii="宋体" w:hAnsi="宋体" w:cs="宋体"/>
          <w:color w:val="auto"/>
          <w:szCs w:val="21"/>
          <w:highlight w:val="none"/>
        </w:rPr>
        <w:t>4.1合同签订后15个日历天供货安装完毕。</w:t>
      </w:r>
    </w:p>
    <w:p w14:paraId="773580FA">
      <w:pPr>
        <w:spacing w:line="440" w:lineRule="exact"/>
        <w:ind w:firstLine="420" w:firstLineChars="200"/>
        <w:jc w:val="left"/>
        <w:outlineLvl w:val="3"/>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4.2质保期：1年。</w:t>
      </w:r>
    </w:p>
    <w:p w14:paraId="39BBC6F3">
      <w:pPr>
        <w:spacing w:line="440" w:lineRule="exact"/>
        <w:ind w:firstLine="422" w:firstLineChars="200"/>
        <w:jc w:val="left"/>
        <w:outlineLvl w:val="2"/>
        <w:rPr>
          <w:rFonts w:ascii="宋体" w:hAnsi="宋体" w:cs="宋体"/>
          <w:b/>
          <w:bCs/>
          <w:color w:val="auto"/>
          <w:szCs w:val="21"/>
          <w:highlight w:val="none"/>
        </w:rPr>
      </w:pPr>
      <w:bookmarkStart w:id="50" w:name="_Toc4219"/>
      <w:r>
        <w:rPr>
          <w:rFonts w:hint="eastAsia" w:ascii="宋体" w:hAnsi="宋体" w:cs="宋体"/>
          <w:b/>
          <w:bCs/>
          <w:color w:val="auto"/>
          <w:szCs w:val="21"/>
          <w:highlight w:val="none"/>
        </w:rPr>
        <w:t>5.投标供应商资格要求</w:t>
      </w:r>
      <w:bookmarkEnd w:id="50"/>
    </w:p>
    <w:p w14:paraId="6FD777B4">
      <w:pPr>
        <w:spacing w:line="440" w:lineRule="exact"/>
        <w:ind w:firstLine="420" w:firstLineChars="200"/>
        <w:outlineLvl w:val="3"/>
        <w:rPr>
          <w:rFonts w:hint="eastAsia" w:ascii="宋体" w:hAnsi="宋体" w:cs="宋体"/>
          <w:color w:val="auto"/>
          <w:kern w:val="0"/>
          <w:szCs w:val="21"/>
          <w:highlight w:val="none"/>
        </w:rPr>
      </w:pPr>
      <w:r>
        <w:rPr>
          <w:rFonts w:hint="eastAsia" w:ascii="宋体" w:hAnsi="宋体" w:cs="宋体"/>
          <w:color w:val="auto"/>
          <w:kern w:val="0"/>
          <w:szCs w:val="21"/>
          <w:highlight w:val="none"/>
        </w:rPr>
        <w:t>5.1供应商必须具有承担民事责任能力，并且具有有效的营业执照（或三证合一有效证件）；</w:t>
      </w:r>
    </w:p>
    <w:p w14:paraId="7C85F0BD">
      <w:pPr>
        <w:spacing w:line="440" w:lineRule="exact"/>
        <w:ind w:firstLine="420" w:firstLineChars="200"/>
        <w:outlineLvl w:val="3"/>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5.2</w:t>
      </w:r>
      <w:r>
        <w:rPr>
          <w:rFonts w:hint="eastAsia" w:ascii="宋体" w:hAnsi="宋体" w:cs="宋体"/>
          <w:color w:val="auto"/>
          <w:kern w:val="0"/>
          <w:szCs w:val="21"/>
          <w:highlight w:val="none"/>
        </w:rPr>
        <w:t>本项目不接受联合体投标；</w:t>
      </w:r>
    </w:p>
    <w:p w14:paraId="39717C45">
      <w:pPr>
        <w:spacing w:line="440" w:lineRule="exact"/>
        <w:ind w:firstLine="420" w:firstLineChars="200"/>
        <w:outlineLvl w:val="3"/>
        <w:rPr>
          <w:rFonts w:ascii="宋体" w:hAnsi="宋体" w:cs="宋体"/>
          <w:color w:val="auto"/>
          <w:kern w:val="0"/>
          <w:szCs w:val="21"/>
          <w:highlight w:val="none"/>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信誉要求：投标供应商不得存在以下情形：</w:t>
      </w:r>
    </w:p>
    <w:p w14:paraId="51B93569">
      <w:pPr>
        <w:spacing w:line="440" w:lineRule="exact"/>
        <w:ind w:firstLine="420" w:firstLineChars="200"/>
        <w:outlineLvl w:val="4"/>
        <w:rPr>
          <w:rFonts w:ascii="宋体" w:hAnsi="宋体" w:cs="宋体"/>
          <w:color w:val="auto"/>
          <w:kern w:val="0"/>
          <w:szCs w:val="21"/>
          <w:highlight w:val="none"/>
        </w:rPr>
      </w:pPr>
      <w:r>
        <w:rPr>
          <w:rFonts w:hint="eastAsia" w:ascii="宋体" w:hAnsi="宋体" w:cs="宋体"/>
          <w:color w:val="auto"/>
          <w:kern w:val="0"/>
          <w:szCs w:val="21"/>
          <w:highlight w:val="none"/>
        </w:rPr>
        <w:t>①投标供应商被人民法院列入失信被执行人的；</w:t>
      </w:r>
    </w:p>
    <w:p w14:paraId="4942EEE3">
      <w:pPr>
        <w:spacing w:line="440" w:lineRule="exact"/>
        <w:ind w:firstLine="420" w:firstLineChars="200"/>
        <w:outlineLvl w:val="4"/>
        <w:rPr>
          <w:rFonts w:ascii="宋体" w:hAnsi="宋体" w:cs="宋体"/>
          <w:color w:val="auto"/>
          <w:kern w:val="0"/>
          <w:szCs w:val="21"/>
          <w:highlight w:val="none"/>
        </w:rPr>
      </w:pPr>
      <w:r>
        <w:rPr>
          <w:rFonts w:hint="eastAsia" w:ascii="宋体" w:hAnsi="宋体" w:cs="宋体"/>
          <w:color w:val="auto"/>
          <w:kern w:val="0"/>
          <w:szCs w:val="21"/>
          <w:highlight w:val="none"/>
        </w:rPr>
        <w:t>②投标供应商或其法定代表人被人民检察院列入行贿犯罪档案的；</w:t>
      </w:r>
    </w:p>
    <w:p w14:paraId="27D349F7">
      <w:pPr>
        <w:spacing w:line="440" w:lineRule="exact"/>
        <w:ind w:firstLine="420" w:firstLineChars="200"/>
        <w:outlineLvl w:val="4"/>
        <w:rPr>
          <w:rFonts w:ascii="宋体" w:hAnsi="宋体" w:cs="宋体"/>
          <w:color w:val="auto"/>
          <w:kern w:val="0"/>
          <w:szCs w:val="21"/>
          <w:highlight w:val="none"/>
        </w:rPr>
      </w:pPr>
      <w:r>
        <w:rPr>
          <w:rFonts w:hint="eastAsia" w:ascii="宋体" w:hAnsi="宋体" w:cs="宋体"/>
          <w:color w:val="auto"/>
          <w:kern w:val="0"/>
          <w:szCs w:val="21"/>
          <w:highlight w:val="none"/>
        </w:rPr>
        <w:t>③投标供应商被市场监督管理部门列入经营异常名录或者严重违法企业名单的；</w:t>
      </w:r>
    </w:p>
    <w:p w14:paraId="6FC957DA">
      <w:pPr>
        <w:spacing w:line="440" w:lineRule="exact"/>
        <w:ind w:firstLine="420" w:firstLineChars="200"/>
        <w:outlineLvl w:val="4"/>
        <w:rPr>
          <w:rFonts w:ascii="宋体" w:hAnsi="宋体" w:cs="宋体"/>
          <w:color w:val="auto"/>
          <w:kern w:val="0"/>
          <w:szCs w:val="21"/>
          <w:highlight w:val="none"/>
        </w:rPr>
      </w:pPr>
      <w:r>
        <w:rPr>
          <w:rFonts w:hint="eastAsia" w:ascii="宋体" w:hAnsi="宋体" w:cs="宋体"/>
          <w:color w:val="auto"/>
          <w:kern w:val="0"/>
          <w:szCs w:val="21"/>
          <w:highlight w:val="none"/>
        </w:rPr>
        <w:t>④投标供应商被税收部门列入重大税收违法案件当事人的；</w:t>
      </w:r>
    </w:p>
    <w:p w14:paraId="1A3C3F35">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⑤投标供应商被采购监管部门列入采购严重违法失信行为记录名单的；</w:t>
      </w:r>
    </w:p>
    <w:p w14:paraId="14519538">
      <w:pPr>
        <w:spacing w:line="440" w:lineRule="exact"/>
        <w:ind w:firstLine="420" w:firstLineChars="200"/>
        <w:outlineLvl w:val="4"/>
        <w:rPr>
          <w:rFonts w:ascii="宋体" w:hAnsi="宋体" w:cs="宋体"/>
          <w:color w:val="auto"/>
          <w:kern w:val="0"/>
          <w:szCs w:val="21"/>
          <w:highlight w:val="none"/>
        </w:rPr>
      </w:pPr>
      <w:r>
        <w:rPr>
          <w:rFonts w:hint="eastAsia" w:ascii="宋体" w:hAnsi="宋体" w:cs="宋体"/>
          <w:color w:val="auto"/>
          <w:kern w:val="0"/>
          <w:szCs w:val="21"/>
          <w:highlight w:val="none"/>
        </w:rPr>
        <w:t>⑥在“信用中国”网站上披露仍在公示期的严重失信行为的；</w:t>
      </w:r>
    </w:p>
    <w:p w14:paraId="18D64B54">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⑦被滁州市县两级行业主管部门及公管部门禁止在一定期限内参加采购活动且在禁止期限内的； </w:t>
      </w:r>
    </w:p>
    <w:p w14:paraId="7014A204">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⑧被滁州市县两级公管部门记入不良行为记录或者信用信息记录，且在披露期内的；</w:t>
      </w:r>
    </w:p>
    <w:p w14:paraId="62985EC0">
      <w:pPr>
        <w:spacing w:line="440" w:lineRule="exact"/>
        <w:ind w:firstLine="422" w:firstLineChars="200"/>
        <w:jc w:val="left"/>
        <w:outlineLvl w:val="2"/>
        <w:rPr>
          <w:rFonts w:ascii="宋体" w:hAnsi="宋体" w:cs="宋体"/>
          <w:b/>
          <w:bCs/>
          <w:color w:val="auto"/>
          <w:szCs w:val="21"/>
          <w:highlight w:val="none"/>
        </w:rPr>
      </w:pPr>
      <w:bookmarkStart w:id="51" w:name="_Toc30010"/>
      <w:r>
        <w:rPr>
          <w:rFonts w:hint="eastAsia" w:ascii="宋体" w:hAnsi="宋体" w:cs="宋体"/>
          <w:b/>
          <w:bCs/>
          <w:color w:val="auto"/>
          <w:szCs w:val="21"/>
          <w:highlight w:val="none"/>
        </w:rPr>
        <w:t>6.资金来源</w:t>
      </w:r>
      <w:bookmarkEnd w:id="51"/>
    </w:p>
    <w:p w14:paraId="0A77C9CA">
      <w:pPr>
        <w:spacing w:line="440" w:lineRule="exact"/>
        <w:ind w:firstLine="420" w:firstLineChars="200"/>
        <w:jc w:val="left"/>
        <w:outlineLvl w:val="3"/>
        <w:rPr>
          <w:rFonts w:ascii="宋体" w:hAnsi="宋体" w:cs="宋体"/>
          <w:color w:val="auto"/>
          <w:szCs w:val="21"/>
          <w:highlight w:val="none"/>
          <w:u w:val="single"/>
        </w:rPr>
      </w:pPr>
      <w:r>
        <w:rPr>
          <w:rFonts w:hint="eastAsia" w:ascii="宋体" w:hAnsi="宋体" w:cs="宋体"/>
          <w:color w:val="auto"/>
          <w:szCs w:val="21"/>
          <w:highlight w:val="none"/>
        </w:rPr>
        <w:t>6.1资金来源：</w:t>
      </w:r>
      <w:r>
        <w:rPr>
          <w:rFonts w:hint="eastAsia" w:ascii="宋体" w:hAnsi="宋体" w:cs="宋体"/>
          <w:color w:val="auto"/>
          <w:szCs w:val="21"/>
          <w:highlight w:val="none"/>
          <w:u w:val="single"/>
        </w:rPr>
        <w:t xml:space="preserve"> 财政资金  </w:t>
      </w:r>
      <w:r>
        <w:rPr>
          <w:rFonts w:hint="eastAsia" w:ascii="宋体" w:hAnsi="宋体" w:cs="宋体"/>
          <w:color w:val="auto"/>
          <w:szCs w:val="21"/>
          <w:highlight w:val="none"/>
        </w:rPr>
        <w:t>；资金已落实。</w:t>
      </w:r>
    </w:p>
    <w:p w14:paraId="3084FC49">
      <w:pPr>
        <w:spacing w:line="440" w:lineRule="exact"/>
        <w:ind w:firstLine="422" w:firstLineChars="200"/>
        <w:jc w:val="left"/>
        <w:outlineLvl w:val="2"/>
        <w:rPr>
          <w:rFonts w:ascii="宋体" w:hAnsi="宋体" w:cs="宋体"/>
          <w:b/>
          <w:bCs/>
          <w:color w:val="auto"/>
          <w:szCs w:val="21"/>
          <w:highlight w:val="none"/>
        </w:rPr>
      </w:pPr>
      <w:bookmarkStart w:id="52" w:name="_Toc15417"/>
      <w:r>
        <w:rPr>
          <w:rFonts w:hint="eastAsia" w:ascii="宋体" w:hAnsi="宋体" w:cs="宋体"/>
          <w:b/>
          <w:bCs/>
          <w:color w:val="auto"/>
          <w:szCs w:val="21"/>
          <w:highlight w:val="none"/>
        </w:rPr>
        <w:t>7.标段划分</w:t>
      </w:r>
      <w:bookmarkEnd w:id="52"/>
    </w:p>
    <w:p w14:paraId="78CF554E">
      <w:pPr>
        <w:spacing w:line="440" w:lineRule="exact"/>
        <w:ind w:firstLine="420" w:firstLineChars="200"/>
        <w:outlineLvl w:val="3"/>
        <w:rPr>
          <w:rFonts w:ascii="宋体" w:hAnsi="宋体" w:cs="宋体"/>
          <w:color w:val="auto"/>
          <w:szCs w:val="21"/>
          <w:highlight w:val="none"/>
          <w:u w:val="single"/>
        </w:rPr>
      </w:pPr>
      <w:r>
        <w:rPr>
          <w:rFonts w:hint="eastAsia" w:ascii="宋体" w:hAnsi="宋体" w:cs="宋体"/>
          <w:color w:val="auto"/>
          <w:szCs w:val="21"/>
          <w:highlight w:val="none"/>
        </w:rPr>
        <w:t>7.1本项目标段划分：</w:t>
      </w:r>
      <w:r>
        <w:rPr>
          <w:rFonts w:hint="eastAsia" w:ascii="宋体" w:hAnsi="宋体" w:cs="宋体"/>
          <w:color w:val="auto"/>
          <w:szCs w:val="21"/>
          <w:highlight w:val="none"/>
          <w:u w:val="single"/>
        </w:rPr>
        <w:t xml:space="preserve">一个标段 </w:t>
      </w:r>
      <w:r>
        <w:rPr>
          <w:rFonts w:hint="eastAsia" w:ascii="宋体" w:hAnsi="宋体" w:cs="宋体"/>
          <w:color w:val="auto"/>
          <w:szCs w:val="21"/>
          <w:highlight w:val="none"/>
        </w:rPr>
        <w:t>。</w:t>
      </w:r>
    </w:p>
    <w:p w14:paraId="45089AE7">
      <w:pPr>
        <w:spacing w:line="440" w:lineRule="exact"/>
        <w:ind w:firstLine="422" w:firstLineChars="200"/>
        <w:jc w:val="left"/>
        <w:outlineLvl w:val="2"/>
        <w:rPr>
          <w:rFonts w:ascii="宋体" w:hAnsi="宋体" w:cs="宋体"/>
          <w:b/>
          <w:bCs/>
          <w:color w:val="auto"/>
          <w:szCs w:val="21"/>
          <w:highlight w:val="none"/>
        </w:rPr>
      </w:pPr>
      <w:bookmarkStart w:id="53" w:name="_Toc11838"/>
      <w:r>
        <w:rPr>
          <w:rFonts w:hint="eastAsia" w:ascii="宋体" w:hAnsi="宋体" w:cs="宋体"/>
          <w:b/>
          <w:bCs/>
          <w:color w:val="auto"/>
          <w:szCs w:val="21"/>
          <w:highlight w:val="none"/>
        </w:rPr>
        <w:t>8.招标方式</w:t>
      </w:r>
      <w:bookmarkEnd w:id="53"/>
    </w:p>
    <w:p w14:paraId="762B7CA3">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8.1本项目招标方式：</w:t>
      </w:r>
      <w:r>
        <w:rPr>
          <w:rFonts w:hint="eastAsia" w:ascii="宋体" w:hAnsi="宋体" w:cs="宋体"/>
          <w:color w:val="auto"/>
          <w:szCs w:val="21"/>
          <w:highlight w:val="none"/>
          <w:u w:val="single"/>
        </w:rPr>
        <w:t xml:space="preserve">  公开招标  </w:t>
      </w:r>
      <w:r>
        <w:rPr>
          <w:rFonts w:hint="eastAsia" w:ascii="宋体" w:hAnsi="宋体" w:cs="宋体"/>
          <w:color w:val="auto"/>
          <w:szCs w:val="21"/>
          <w:highlight w:val="none"/>
        </w:rPr>
        <w:t>。</w:t>
      </w:r>
    </w:p>
    <w:p w14:paraId="7D59688E">
      <w:pPr>
        <w:spacing w:line="440" w:lineRule="exact"/>
        <w:ind w:firstLine="422" w:firstLineChars="200"/>
        <w:jc w:val="left"/>
        <w:outlineLvl w:val="2"/>
        <w:rPr>
          <w:rFonts w:ascii="宋体" w:hAnsi="宋体" w:cs="宋体"/>
          <w:b/>
          <w:bCs/>
          <w:color w:val="auto"/>
          <w:szCs w:val="21"/>
          <w:highlight w:val="none"/>
        </w:rPr>
      </w:pPr>
      <w:bookmarkStart w:id="54" w:name="_Toc20247"/>
      <w:r>
        <w:rPr>
          <w:rFonts w:hint="eastAsia" w:ascii="宋体" w:hAnsi="宋体" w:cs="宋体"/>
          <w:b/>
          <w:bCs/>
          <w:color w:val="auto"/>
          <w:szCs w:val="21"/>
          <w:highlight w:val="none"/>
        </w:rPr>
        <w:t>9.计价方式</w:t>
      </w:r>
      <w:bookmarkEnd w:id="54"/>
    </w:p>
    <w:p w14:paraId="6A0D0CCA">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9.1本项目合同方式：</w:t>
      </w:r>
      <w:r>
        <w:rPr>
          <w:rFonts w:hint="eastAsia" w:ascii="宋体" w:hAnsi="宋体" w:cs="宋体"/>
          <w:color w:val="auto"/>
          <w:szCs w:val="21"/>
          <w:highlight w:val="none"/>
          <w:u w:val="single"/>
        </w:rPr>
        <w:t xml:space="preserve">  固定</w:t>
      </w:r>
      <w:r>
        <w:rPr>
          <w:rFonts w:hint="eastAsia" w:ascii="宋体" w:hAnsi="宋体" w:cs="宋体"/>
          <w:color w:val="auto"/>
          <w:szCs w:val="21"/>
          <w:highlight w:val="none"/>
          <w:u w:val="single"/>
          <w:lang w:eastAsia="zh-CN"/>
        </w:rPr>
        <w:t>单</w:t>
      </w:r>
      <w:r>
        <w:rPr>
          <w:rFonts w:hint="eastAsia" w:ascii="宋体" w:hAnsi="宋体" w:cs="宋体"/>
          <w:color w:val="auto"/>
          <w:szCs w:val="21"/>
          <w:highlight w:val="none"/>
          <w:u w:val="single"/>
        </w:rPr>
        <w:t xml:space="preserve">价  </w:t>
      </w:r>
      <w:r>
        <w:rPr>
          <w:rFonts w:hint="eastAsia" w:ascii="宋体" w:hAnsi="宋体" w:cs="宋体"/>
          <w:color w:val="auto"/>
          <w:szCs w:val="21"/>
          <w:highlight w:val="none"/>
        </w:rPr>
        <w:t>。</w:t>
      </w:r>
    </w:p>
    <w:p w14:paraId="11B08F4E">
      <w:pPr>
        <w:spacing w:line="440" w:lineRule="exact"/>
        <w:ind w:firstLine="422" w:firstLineChars="200"/>
        <w:jc w:val="left"/>
        <w:outlineLvl w:val="2"/>
        <w:rPr>
          <w:rFonts w:ascii="宋体" w:hAnsi="宋体" w:cs="宋体"/>
          <w:b/>
          <w:bCs/>
          <w:color w:val="auto"/>
          <w:szCs w:val="21"/>
          <w:highlight w:val="none"/>
        </w:rPr>
      </w:pPr>
      <w:bookmarkStart w:id="55" w:name="_Toc25598"/>
      <w:r>
        <w:rPr>
          <w:rFonts w:hint="eastAsia" w:ascii="宋体" w:hAnsi="宋体" w:cs="宋体"/>
          <w:b/>
          <w:bCs/>
          <w:color w:val="auto"/>
          <w:szCs w:val="21"/>
          <w:highlight w:val="none"/>
        </w:rPr>
        <w:t>10.评标办法</w:t>
      </w:r>
      <w:bookmarkEnd w:id="55"/>
    </w:p>
    <w:p w14:paraId="3D7668B8">
      <w:pPr>
        <w:spacing w:line="440" w:lineRule="exact"/>
        <w:ind w:firstLine="420" w:firstLineChars="200"/>
        <w:jc w:val="left"/>
        <w:outlineLvl w:val="3"/>
        <w:rPr>
          <w:rFonts w:ascii="宋体" w:hAnsi="宋体" w:cs="宋体"/>
          <w:b/>
          <w:bCs/>
          <w:color w:val="auto"/>
          <w:szCs w:val="21"/>
          <w:highlight w:val="none"/>
        </w:rPr>
      </w:pPr>
      <w:r>
        <w:rPr>
          <w:rFonts w:hint="eastAsia" w:ascii="宋体" w:hAnsi="宋体" w:cs="宋体"/>
          <w:color w:val="auto"/>
          <w:szCs w:val="21"/>
          <w:highlight w:val="none"/>
        </w:rPr>
        <w:t>10.1本项目评标办法：</w:t>
      </w:r>
      <w:r>
        <w:rPr>
          <w:rFonts w:hint="eastAsia" w:ascii="宋体" w:hAnsi="宋体" w:cs="宋体"/>
          <w:color w:val="auto"/>
          <w:szCs w:val="21"/>
          <w:highlight w:val="none"/>
          <w:u w:val="single"/>
        </w:rPr>
        <w:t xml:space="preserve"> 综合评分法 。</w:t>
      </w:r>
      <w:r>
        <w:rPr>
          <w:rFonts w:hint="eastAsia" w:ascii="宋体" w:hAnsi="宋体" w:cs="宋体"/>
          <w:color w:val="auto"/>
          <w:szCs w:val="21"/>
          <w:highlight w:val="none"/>
        </w:rPr>
        <w:t xml:space="preserve"> </w:t>
      </w:r>
    </w:p>
    <w:p w14:paraId="029C3C54">
      <w:pPr>
        <w:spacing w:before="156" w:beforeLines="50" w:after="156" w:afterLines="50" w:line="440" w:lineRule="exact"/>
        <w:jc w:val="center"/>
        <w:outlineLvl w:val="1"/>
        <w:rPr>
          <w:rFonts w:ascii="宋体" w:hAnsi="宋体" w:cs="宋体"/>
          <w:color w:val="auto"/>
          <w:szCs w:val="21"/>
          <w:highlight w:val="none"/>
        </w:rPr>
      </w:pPr>
      <w:bookmarkStart w:id="56" w:name="_Toc27229"/>
      <w:r>
        <w:rPr>
          <w:rFonts w:hint="eastAsia" w:ascii="宋体" w:hAnsi="宋体" w:cs="宋体"/>
          <w:b/>
          <w:bCs/>
          <w:color w:val="auto"/>
          <w:sz w:val="28"/>
          <w:szCs w:val="28"/>
          <w:highlight w:val="none"/>
        </w:rPr>
        <w:t>二、采购文件</w:t>
      </w:r>
      <w:bookmarkEnd w:id="56"/>
    </w:p>
    <w:p w14:paraId="3EC3220E">
      <w:pPr>
        <w:spacing w:line="440" w:lineRule="exact"/>
        <w:ind w:firstLine="422" w:firstLineChars="200"/>
        <w:jc w:val="left"/>
        <w:outlineLvl w:val="2"/>
        <w:rPr>
          <w:rFonts w:ascii="宋体" w:hAnsi="宋体" w:cs="宋体"/>
          <w:b/>
          <w:bCs/>
          <w:color w:val="auto"/>
          <w:szCs w:val="21"/>
          <w:highlight w:val="none"/>
        </w:rPr>
      </w:pPr>
      <w:bookmarkStart w:id="57" w:name="_Toc17846"/>
      <w:r>
        <w:rPr>
          <w:rFonts w:hint="eastAsia" w:ascii="宋体" w:hAnsi="宋体" w:cs="宋体"/>
          <w:b/>
          <w:bCs/>
          <w:color w:val="auto"/>
          <w:szCs w:val="21"/>
          <w:highlight w:val="none"/>
        </w:rPr>
        <w:t>11.采购文件的编制依据</w:t>
      </w:r>
      <w:bookmarkEnd w:id="57"/>
    </w:p>
    <w:p w14:paraId="5EFE4E2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11.1参照相关法律法规和规章及部、省、市级规范性文件的规定，编制本项目采购文件。</w:t>
      </w:r>
    </w:p>
    <w:p w14:paraId="5D0806B4">
      <w:pPr>
        <w:spacing w:line="440" w:lineRule="exact"/>
        <w:ind w:firstLine="422" w:firstLineChars="200"/>
        <w:jc w:val="left"/>
        <w:outlineLvl w:val="2"/>
        <w:rPr>
          <w:rFonts w:ascii="宋体" w:hAnsi="宋体" w:cs="宋体"/>
          <w:b/>
          <w:bCs/>
          <w:color w:val="auto"/>
          <w:szCs w:val="21"/>
          <w:highlight w:val="none"/>
        </w:rPr>
      </w:pPr>
      <w:bookmarkStart w:id="58" w:name="_Toc28477"/>
      <w:r>
        <w:rPr>
          <w:rFonts w:hint="eastAsia" w:ascii="宋体" w:hAnsi="宋体" w:cs="宋体"/>
          <w:b/>
          <w:bCs/>
          <w:color w:val="auto"/>
          <w:szCs w:val="21"/>
          <w:highlight w:val="none"/>
        </w:rPr>
        <w:t>12.采购文件的组成</w:t>
      </w:r>
      <w:bookmarkEnd w:id="58"/>
    </w:p>
    <w:p w14:paraId="17F60282">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12.1采购文件包括内容：</w:t>
      </w:r>
    </w:p>
    <w:p w14:paraId="53CAE3E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第一章  投标公告</w:t>
      </w:r>
    </w:p>
    <w:p w14:paraId="29961B5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第二章  投标须知</w:t>
      </w:r>
    </w:p>
    <w:p w14:paraId="7EA3AD3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第三章  评标办法</w:t>
      </w:r>
    </w:p>
    <w:p w14:paraId="68385A2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第四章  采购内容及技术要求</w:t>
      </w:r>
    </w:p>
    <w:p w14:paraId="54E6DE0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第五章  合同条款及格式</w:t>
      </w:r>
    </w:p>
    <w:p w14:paraId="37E0D9A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第六章  投标文件格式文本</w:t>
      </w:r>
    </w:p>
    <w:p w14:paraId="4809F7F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第七章  采购单位、招标代理机构对本文件的确认</w:t>
      </w:r>
    </w:p>
    <w:p w14:paraId="41799518">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  除12.1内容外，招标答疑亦为采购文件的组成部分，对采购人和投标供应商起约束作用。</w:t>
      </w:r>
    </w:p>
    <w:p w14:paraId="70598A9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  投标供应商同时应认真审阅采购文件中所有的事项、格式、条款和规范要求等，若投标供应商的投标文件没有按采购文件要求提交全部资料，或投标文件没有对采购文件作出实质性响应，其风险由投标供应商自行承担，并根据有关条款规定，该投标有可能被拒绝。</w:t>
      </w:r>
    </w:p>
    <w:p w14:paraId="3625B624">
      <w:pPr>
        <w:spacing w:line="440" w:lineRule="exact"/>
        <w:ind w:firstLine="422" w:firstLineChars="200"/>
        <w:jc w:val="left"/>
        <w:outlineLvl w:val="2"/>
        <w:rPr>
          <w:rFonts w:ascii="宋体" w:hAnsi="宋体" w:cs="宋体"/>
          <w:b/>
          <w:bCs/>
          <w:color w:val="auto"/>
          <w:szCs w:val="21"/>
          <w:highlight w:val="none"/>
        </w:rPr>
      </w:pPr>
      <w:bookmarkStart w:id="59" w:name="_Toc27429"/>
      <w:r>
        <w:rPr>
          <w:rFonts w:hint="eastAsia" w:ascii="宋体" w:hAnsi="宋体" w:cs="宋体"/>
          <w:b/>
          <w:bCs/>
          <w:color w:val="auto"/>
          <w:szCs w:val="21"/>
          <w:highlight w:val="none"/>
        </w:rPr>
        <w:t>13.   采购文件的澄清、修改、补充、解释</w:t>
      </w:r>
      <w:bookmarkEnd w:id="59"/>
    </w:p>
    <w:p w14:paraId="5FC9586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13.1  </w:t>
      </w:r>
      <w:r>
        <w:rPr>
          <w:rFonts w:hint="eastAsia" w:ascii="宋体" w:hAnsi="宋体" w:cs="宋体"/>
          <w:color w:val="auto"/>
          <w:kern w:val="0"/>
          <w:szCs w:val="21"/>
          <w:highlight w:val="none"/>
          <w:lang w:val="zh-CN"/>
        </w:rPr>
        <w:t>采购文件发出后，采购人可对采购文件进行必要的澄清、修改和补充，具有约束作用</w:t>
      </w:r>
      <w:r>
        <w:rPr>
          <w:rFonts w:hint="eastAsia" w:ascii="宋体" w:hAnsi="宋体" w:cs="宋体"/>
          <w:color w:val="auto"/>
          <w:szCs w:val="21"/>
          <w:highlight w:val="none"/>
        </w:rPr>
        <w:t>。</w:t>
      </w:r>
    </w:p>
    <w:p w14:paraId="4A51FCC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  本采购文件由采购人（或其委托的代理机构）负责解释。</w:t>
      </w:r>
    </w:p>
    <w:p w14:paraId="465C2EF2">
      <w:pPr>
        <w:spacing w:line="440" w:lineRule="exact"/>
        <w:ind w:firstLine="422" w:firstLineChars="200"/>
        <w:jc w:val="left"/>
        <w:outlineLvl w:val="2"/>
        <w:rPr>
          <w:rFonts w:ascii="宋体" w:hAnsi="宋体" w:cs="宋体"/>
          <w:b/>
          <w:bCs/>
          <w:color w:val="auto"/>
          <w:szCs w:val="21"/>
          <w:highlight w:val="none"/>
        </w:rPr>
      </w:pPr>
      <w:bookmarkStart w:id="60" w:name="_Toc19558"/>
      <w:r>
        <w:rPr>
          <w:rFonts w:hint="eastAsia" w:ascii="宋体" w:hAnsi="宋体" w:cs="宋体"/>
          <w:b/>
          <w:bCs/>
          <w:color w:val="auto"/>
          <w:szCs w:val="21"/>
          <w:highlight w:val="none"/>
        </w:rPr>
        <w:t>14.   踏勘现场</w:t>
      </w:r>
      <w:bookmarkEnd w:id="60"/>
    </w:p>
    <w:p w14:paraId="5981D806">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14.1  投标供应商自行进行踏勘，以便投标供应商获取有关编制投标文件和签署合同所涉及现场的资料。投标供应商承担踏勘现场所发生的自身费用。</w:t>
      </w:r>
    </w:p>
    <w:p w14:paraId="65493D69">
      <w:pPr>
        <w:spacing w:before="156" w:beforeLines="50" w:after="156" w:afterLines="50" w:line="440" w:lineRule="exact"/>
        <w:jc w:val="center"/>
        <w:outlineLvl w:val="1"/>
        <w:rPr>
          <w:rFonts w:ascii="宋体" w:hAnsi="宋体" w:cs="宋体"/>
          <w:b/>
          <w:bCs/>
          <w:color w:val="auto"/>
          <w:sz w:val="28"/>
          <w:szCs w:val="28"/>
          <w:highlight w:val="none"/>
        </w:rPr>
      </w:pPr>
      <w:bookmarkStart w:id="61" w:name="_Toc11879"/>
      <w:r>
        <w:rPr>
          <w:rFonts w:hint="eastAsia" w:ascii="宋体" w:hAnsi="宋体" w:cs="宋体"/>
          <w:b/>
          <w:bCs/>
          <w:color w:val="auto"/>
          <w:sz w:val="28"/>
          <w:szCs w:val="28"/>
          <w:highlight w:val="none"/>
        </w:rPr>
        <w:t>三、投标文件的编制</w:t>
      </w:r>
      <w:bookmarkEnd w:id="61"/>
    </w:p>
    <w:p w14:paraId="45C5E02D">
      <w:pPr>
        <w:spacing w:line="440" w:lineRule="exact"/>
        <w:ind w:firstLine="422" w:firstLineChars="200"/>
        <w:outlineLvl w:val="2"/>
        <w:rPr>
          <w:rFonts w:ascii="宋体" w:hAnsi="宋体" w:cs="宋体"/>
          <w:b/>
          <w:bCs/>
          <w:color w:val="auto"/>
          <w:szCs w:val="21"/>
          <w:highlight w:val="none"/>
        </w:rPr>
      </w:pPr>
      <w:bookmarkStart w:id="62" w:name="_Toc10504"/>
      <w:r>
        <w:rPr>
          <w:rFonts w:hint="eastAsia" w:ascii="宋体" w:hAnsi="宋体" w:cs="宋体"/>
          <w:b/>
          <w:bCs/>
          <w:color w:val="auto"/>
          <w:szCs w:val="21"/>
          <w:highlight w:val="none"/>
        </w:rPr>
        <w:t>15.   投标文件的组成</w:t>
      </w:r>
      <w:bookmarkEnd w:id="62"/>
    </w:p>
    <w:p w14:paraId="533601ED">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15.1  投标文件包括资格证明文件、技术标、商务标三部分：</w:t>
      </w:r>
    </w:p>
    <w:p w14:paraId="59F4CA4C">
      <w:pPr>
        <w:spacing w:line="440" w:lineRule="exact"/>
        <w:ind w:firstLine="422" w:firstLineChars="200"/>
        <w:outlineLvl w:val="4"/>
        <w:rPr>
          <w:rFonts w:ascii="宋体" w:hAnsi="宋体" w:cs="宋体"/>
          <w:b/>
          <w:bCs/>
          <w:color w:val="auto"/>
          <w:szCs w:val="21"/>
          <w:highlight w:val="none"/>
        </w:rPr>
      </w:pPr>
      <w:r>
        <w:rPr>
          <w:rFonts w:hint="eastAsia" w:ascii="宋体" w:hAnsi="宋体" w:cs="宋体"/>
          <w:b/>
          <w:bCs/>
          <w:color w:val="auto"/>
          <w:szCs w:val="21"/>
          <w:highlight w:val="none"/>
        </w:rPr>
        <w:t>15.1.1资格证明文件：</w:t>
      </w:r>
    </w:p>
    <w:p w14:paraId="1F01A0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（1）法定代表人身份证明及其有效身份证（或法定代表人授权委托书及其有效身份证）（格式见附件）；</w:t>
      </w:r>
    </w:p>
    <w:p w14:paraId="1C714EE6">
      <w:pPr>
        <w:spacing w:line="440" w:lineRule="exact"/>
        <w:ind w:firstLine="420" w:firstLineChars="200"/>
        <w:outlineLvl w:val="0"/>
        <w:rPr>
          <w:rFonts w:hint="eastAsia" w:ascii="宋体" w:hAnsi="宋体" w:cs="宋体"/>
          <w:color w:val="auto"/>
          <w:szCs w:val="21"/>
          <w:highlight w:val="none"/>
        </w:rPr>
      </w:pPr>
      <w:bookmarkStart w:id="63" w:name="_Toc360"/>
      <w:r>
        <w:rPr>
          <w:rFonts w:hint="eastAsia" w:ascii="宋体" w:hAnsi="宋体" w:cs="宋体"/>
          <w:color w:val="auto"/>
          <w:szCs w:val="21"/>
          <w:highlight w:val="none"/>
        </w:rPr>
        <w:t>（2）投标供应商有效的营业执照（或三证合一的有效证件）；</w:t>
      </w:r>
      <w:bookmarkEnd w:id="63"/>
    </w:p>
    <w:p w14:paraId="41EC9BD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参加采购活动近三年内，在经营活动中没有重大违法记录的声明（格式自拟）；</w:t>
      </w:r>
    </w:p>
    <w:p w14:paraId="2D23F348">
      <w:pPr>
        <w:spacing w:line="440" w:lineRule="exact"/>
        <w:ind w:firstLine="420" w:firstLineChars="200"/>
        <w:outlineLvl w:val="0"/>
        <w:rPr>
          <w:rFonts w:ascii="宋体" w:hAnsi="宋体" w:cs="宋体"/>
          <w:color w:val="auto"/>
          <w:szCs w:val="21"/>
          <w:highlight w:val="none"/>
        </w:rPr>
      </w:pPr>
      <w:bookmarkStart w:id="64" w:name="_Toc24819"/>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）诚信投标承诺书（格式见附件）；</w:t>
      </w:r>
      <w:bookmarkEnd w:id="64"/>
    </w:p>
    <w:p w14:paraId="5738D903">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）资信标中要求提供的相关资料和资格评分细则中需要提供的相关资料；</w:t>
      </w:r>
    </w:p>
    <w:p w14:paraId="3AEA2959">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以上材料须按顺序装订，须加盖供应商公章。供应商所提交的</w:t>
      </w:r>
      <w:r>
        <w:rPr>
          <w:rFonts w:hint="eastAsia" w:ascii="宋体" w:hAnsi="宋体" w:cs="宋体"/>
          <w:b/>
          <w:color w:val="auto"/>
          <w:szCs w:val="21"/>
          <w:highlight w:val="none"/>
        </w:rPr>
        <w:t>资信</w:t>
      </w:r>
      <w:r>
        <w:rPr>
          <w:rFonts w:hint="eastAsia" w:ascii="宋体" w:hAnsi="宋体" w:cs="宋体"/>
          <w:b/>
          <w:bCs/>
          <w:color w:val="auto"/>
          <w:szCs w:val="21"/>
          <w:highlight w:val="none"/>
        </w:rPr>
        <w:t>文件的完整与否，直接影响供应商的评审</w:t>
      </w:r>
      <w:r>
        <w:rPr>
          <w:rFonts w:hint="eastAsia" w:ascii="宋体" w:hAnsi="宋体" w:cs="宋体"/>
          <w:b/>
          <w:bCs/>
          <w:color w:val="auto"/>
          <w:kern w:val="0"/>
          <w:szCs w:val="21"/>
          <w:highlight w:val="none"/>
          <w:u w:color="000000"/>
        </w:rPr>
        <w:t>。</w:t>
      </w:r>
    </w:p>
    <w:p w14:paraId="44410C54">
      <w:pPr>
        <w:spacing w:line="440" w:lineRule="exact"/>
        <w:ind w:firstLine="422" w:firstLineChars="200"/>
        <w:jc w:val="left"/>
        <w:outlineLvl w:val="1"/>
        <w:rPr>
          <w:rFonts w:ascii="宋体" w:hAnsi="宋体" w:cs="宋体"/>
          <w:b/>
          <w:bCs/>
          <w:color w:val="auto"/>
          <w:kern w:val="0"/>
          <w:szCs w:val="21"/>
          <w:highlight w:val="none"/>
          <w:u w:color="000000"/>
        </w:rPr>
      </w:pPr>
      <w:bookmarkStart w:id="65" w:name="_Toc1024"/>
      <w:r>
        <w:rPr>
          <w:rFonts w:hint="eastAsia" w:ascii="宋体" w:hAnsi="宋体" w:cs="宋体"/>
          <w:b/>
          <w:bCs/>
          <w:color w:val="auto"/>
          <w:kern w:val="0"/>
          <w:szCs w:val="21"/>
          <w:highlight w:val="none"/>
          <w:u w:color="000000"/>
        </w:rPr>
        <w:t>15.1.2技术标：</w:t>
      </w:r>
      <w:bookmarkEnd w:id="65"/>
    </w:p>
    <w:p w14:paraId="09338996">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（1）详细的货物名称、规格、技术参数等【附技术参数响应表、货物的详细配置清单，格式见附件】；</w:t>
      </w:r>
    </w:p>
    <w:p w14:paraId="791E8FF0">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w:t>
      </w:r>
      <w:r>
        <w:rPr>
          <w:rFonts w:hint="eastAsia" w:ascii="宋体" w:hAnsi="宋体" w:cs="宋体"/>
          <w:bCs/>
          <w:color w:val="auto"/>
          <w:szCs w:val="21"/>
          <w:highlight w:val="none"/>
          <w:lang w:val="en-US" w:eastAsia="zh-CN"/>
        </w:rPr>
        <w:t>供货方案</w:t>
      </w:r>
      <w:r>
        <w:rPr>
          <w:rFonts w:hint="eastAsia" w:ascii="宋体" w:hAnsi="宋体" w:cs="宋体"/>
          <w:bCs/>
          <w:color w:val="auto"/>
          <w:szCs w:val="21"/>
          <w:highlight w:val="none"/>
        </w:rPr>
        <w:t>；</w:t>
      </w:r>
    </w:p>
    <w:p w14:paraId="2064DC64">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w:t>
      </w:r>
      <w:r>
        <w:rPr>
          <w:rFonts w:hint="eastAsia" w:ascii="宋体" w:hAnsi="宋体" w:cs="宋体"/>
          <w:color w:val="auto"/>
          <w:spacing w:val="0"/>
          <w:position w:val="0"/>
          <w:sz w:val="21"/>
          <w:szCs w:val="21"/>
          <w:highlight w:val="none"/>
          <w:lang w:val="en-US" w:eastAsia="zh-CN"/>
        </w:rPr>
        <w:t>安装调试方案</w:t>
      </w:r>
      <w:r>
        <w:rPr>
          <w:rFonts w:hint="eastAsia" w:ascii="宋体" w:hAnsi="宋体" w:cs="宋体"/>
          <w:bCs/>
          <w:color w:val="auto"/>
          <w:szCs w:val="21"/>
          <w:highlight w:val="none"/>
        </w:rPr>
        <w:t>；</w:t>
      </w:r>
    </w:p>
    <w:p w14:paraId="095D806D">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售后服务方案</w:t>
      </w:r>
      <w:r>
        <w:rPr>
          <w:rFonts w:hint="eastAsia" w:ascii="宋体" w:hAnsi="宋体" w:cs="宋体"/>
          <w:bCs/>
          <w:color w:val="auto"/>
          <w:szCs w:val="21"/>
          <w:highlight w:val="none"/>
        </w:rPr>
        <w:t>；</w:t>
      </w:r>
    </w:p>
    <w:p w14:paraId="15084164">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（5）技术标中要求提供的相关资料和技术标评分细则中需要提供的相关资料；</w:t>
      </w:r>
    </w:p>
    <w:p w14:paraId="78C14562">
      <w:pPr>
        <w:spacing w:line="440" w:lineRule="exact"/>
        <w:ind w:firstLine="422" w:firstLineChars="200"/>
        <w:jc w:val="left"/>
        <w:rPr>
          <w:rFonts w:ascii="宋体" w:hAnsi="宋体" w:cs="宋体"/>
          <w:color w:val="auto"/>
          <w:kern w:val="0"/>
          <w:szCs w:val="21"/>
          <w:highlight w:val="none"/>
          <w:u w:color="000000"/>
        </w:rPr>
      </w:pPr>
      <w:r>
        <w:rPr>
          <w:rFonts w:hint="eastAsia" w:ascii="宋体" w:hAnsi="宋体" w:cs="宋体"/>
          <w:b/>
          <w:color w:val="auto"/>
          <w:szCs w:val="21"/>
          <w:highlight w:val="none"/>
        </w:rPr>
        <w:t>以上材料须按顺序装订，须加盖供应商公章。供应商所提交的技术标文件的完整与否，直接影响供应商的评审</w:t>
      </w:r>
      <w:r>
        <w:rPr>
          <w:rFonts w:hint="eastAsia" w:ascii="宋体" w:hAnsi="宋体" w:cs="宋体"/>
          <w:b/>
          <w:bCs/>
          <w:color w:val="auto"/>
          <w:kern w:val="0"/>
          <w:szCs w:val="21"/>
          <w:highlight w:val="none"/>
          <w:u w:color="000000"/>
        </w:rPr>
        <w:t>。</w:t>
      </w:r>
    </w:p>
    <w:p w14:paraId="298FB950">
      <w:pPr>
        <w:spacing w:line="440" w:lineRule="exact"/>
        <w:ind w:firstLine="422" w:firstLineChars="200"/>
        <w:jc w:val="left"/>
        <w:outlineLvl w:val="1"/>
        <w:rPr>
          <w:rFonts w:ascii="宋体" w:hAnsi="宋体" w:cs="宋体"/>
          <w:b/>
          <w:bCs/>
          <w:color w:val="auto"/>
          <w:highlight w:val="none"/>
        </w:rPr>
      </w:pPr>
      <w:bookmarkStart w:id="66" w:name="_Toc8894"/>
      <w:r>
        <w:rPr>
          <w:rFonts w:hint="eastAsia" w:ascii="宋体" w:hAnsi="宋体" w:cs="宋体"/>
          <w:b/>
          <w:bCs/>
          <w:color w:val="auto"/>
          <w:kern w:val="0"/>
          <w:szCs w:val="21"/>
          <w:highlight w:val="none"/>
          <w:u w:color="000000"/>
        </w:rPr>
        <w:t>15.1.3商务标：</w:t>
      </w:r>
      <w:bookmarkEnd w:id="66"/>
    </w:p>
    <w:p w14:paraId="09C4FD85">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（1）开标一览表（格式见附件）；</w:t>
      </w:r>
    </w:p>
    <w:p w14:paraId="653E876B">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（2）投标函（格式见附件）；</w:t>
      </w:r>
    </w:p>
    <w:p w14:paraId="2ADE053D">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（3）分项报价表（格式见附件）；</w:t>
      </w:r>
    </w:p>
    <w:p w14:paraId="227BC82F">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（4）商务标中要求提供的相关资料和商务标评分细则中需要提供的相关资料；</w:t>
      </w:r>
    </w:p>
    <w:p w14:paraId="01BB7072">
      <w:pPr>
        <w:spacing w:line="440" w:lineRule="exact"/>
        <w:ind w:firstLine="422" w:firstLineChars="200"/>
        <w:rPr>
          <w:rFonts w:ascii="宋体" w:hAnsi="宋体" w:cs="宋体"/>
          <w:bCs/>
          <w:color w:val="auto"/>
          <w:szCs w:val="21"/>
          <w:highlight w:val="none"/>
        </w:rPr>
      </w:pPr>
      <w:r>
        <w:rPr>
          <w:rFonts w:hint="eastAsia" w:ascii="宋体" w:hAnsi="宋体" w:cs="宋体"/>
          <w:b/>
          <w:bCs/>
          <w:color w:val="auto"/>
          <w:szCs w:val="21"/>
          <w:highlight w:val="none"/>
        </w:rPr>
        <w:t>以上材料须按顺序装订，须加盖供应商公章。供应商所提交的</w:t>
      </w:r>
      <w:r>
        <w:rPr>
          <w:rFonts w:hint="eastAsia" w:ascii="宋体" w:hAnsi="宋体" w:cs="宋体"/>
          <w:b/>
          <w:color w:val="auto"/>
          <w:szCs w:val="21"/>
          <w:highlight w:val="none"/>
        </w:rPr>
        <w:t>商务</w:t>
      </w:r>
      <w:r>
        <w:rPr>
          <w:rFonts w:hint="eastAsia" w:ascii="宋体" w:hAnsi="宋体" w:cs="宋体"/>
          <w:b/>
          <w:bCs/>
          <w:color w:val="auto"/>
          <w:szCs w:val="21"/>
          <w:highlight w:val="none"/>
        </w:rPr>
        <w:t>标文件的完整与否，直接影响供应商的评审</w:t>
      </w:r>
      <w:r>
        <w:rPr>
          <w:rFonts w:hint="eastAsia" w:ascii="宋体" w:hAnsi="宋体" w:cs="宋体"/>
          <w:b/>
          <w:bCs/>
          <w:color w:val="auto"/>
          <w:kern w:val="0"/>
          <w:szCs w:val="21"/>
          <w:highlight w:val="none"/>
          <w:u w:color="000000"/>
        </w:rPr>
        <w:t>。</w:t>
      </w:r>
    </w:p>
    <w:p w14:paraId="0ED56FD4">
      <w:pPr>
        <w:spacing w:line="440" w:lineRule="exact"/>
        <w:ind w:firstLine="420" w:firstLineChars="200"/>
        <w:outlineLvl w:val="1"/>
        <w:rPr>
          <w:rFonts w:ascii="宋体" w:hAnsi="宋体" w:cs="宋体"/>
          <w:color w:val="auto"/>
          <w:szCs w:val="21"/>
          <w:highlight w:val="none"/>
        </w:rPr>
      </w:pPr>
      <w:bookmarkStart w:id="67" w:name="_Toc2053"/>
      <w:r>
        <w:rPr>
          <w:rFonts w:hint="eastAsia" w:ascii="宋体" w:hAnsi="宋体" w:cs="宋体"/>
          <w:color w:val="auto"/>
          <w:szCs w:val="21"/>
          <w:highlight w:val="none"/>
        </w:rPr>
        <w:t>16．</w:t>
      </w:r>
      <w:r>
        <w:rPr>
          <w:rFonts w:hint="eastAsia" w:ascii="宋体" w:hAnsi="宋体" w:cs="宋体"/>
          <w:b/>
          <w:color w:val="auto"/>
          <w:szCs w:val="21"/>
          <w:highlight w:val="none"/>
        </w:rPr>
        <w:t>投标报价</w:t>
      </w:r>
      <w:bookmarkEnd w:id="67"/>
    </w:p>
    <w:p w14:paraId="2D2FC427">
      <w:pPr>
        <w:spacing w:line="440" w:lineRule="exact"/>
        <w:ind w:firstLine="420" w:firstLineChars="200"/>
        <w:rPr>
          <w:rFonts w:ascii="宋体" w:hAnsi="宋体" w:cs="宋体"/>
          <w:b/>
          <w:bCs/>
          <w:color w:val="auto"/>
          <w:szCs w:val="21"/>
          <w:highlight w:val="none"/>
        </w:rPr>
      </w:pPr>
      <w:r>
        <w:rPr>
          <w:rFonts w:hint="eastAsia" w:ascii="宋体" w:hAnsi="宋体" w:cs="宋体"/>
          <w:color w:val="auto"/>
          <w:kern w:val="0"/>
          <w:szCs w:val="21"/>
          <w:highlight w:val="none"/>
        </w:rPr>
        <w:t>16.1本次采购标书中只允许有一个方案，一个报价，多方案、多报价的将不被接受。</w:t>
      </w:r>
      <w:r>
        <w:rPr>
          <w:rFonts w:hint="eastAsia" w:ascii="宋体" w:hAnsi="宋体" w:cs="宋体"/>
          <w:b/>
          <w:bCs/>
          <w:color w:val="auto"/>
          <w:szCs w:val="21"/>
          <w:highlight w:val="none"/>
        </w:rPr>
        <w:t xml:space="preserve"> </w:t>
      </w:r>
    </w:p>
    <w:p w14:paraId="1C84D620">
      <w:pPr>
        <w:widowControl/>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16.2报价时报价人应就本采购文件所提供的技术支持与服务做出书面承诺；</w:t>
      </w:r>
    </w:p>
    <w:p w14:paraId="2F1747D1">
      <w:pPr>
        <w:widowControl/>
        <w:spacing w:line="440" w:lineRule="exact"/>
        <w:ind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16.3</w:t>
      </w:r>
      <w:r>
        <w:rPr>
          <w:rFonts w:hint="eastAsia" w:ascii="宋体" w:hAnsi="宋体" w:cs="宋体"/>
          <w:b/>
          <w:bCs/>
          <w:color w:val="auto"/>
          <w:szCs w:val="21"/>
          <w:highlight w:val="none"/>
          <w:lang w:val="en-US" w:eastAsia="zh-CN"/>
        </w:rPr>
        <w:t>最高限价：壹拾陆万壹仟玖佰贰拾元整</w:t>
      </w:r>
      <w:r>
        <w:rPr>
          <w:rFonts w:hint="eastAsia" w:ascii="宋体" w:hAnsi="宋体" w:cs="宋体"/>
          <w:b/>
          <w:bCs/>
          <w:color w:val="auto"/>
          <w:szCs w:val="21"/>
          <w:highlight w:val="none"/>
        </w:rPr>
        <w:t>（16192</w:t>
      </w:r>
      <w:r>
        <w:rPr>
          <w:rFonts w:hint="eastAsia" w:ascii="宋体" w:hAnsi="宋体" w:cs="宋体"/>
          <w:b/>
          <w:bCs/>
          <w:color w:val="auto"/>
          <w:szCs w:val="21"/>
          <w:highlight w:val="none"/>
          <w:lang w:val="en-US" w:eastAsia="zh-CN"/>
        </w:rPr>
        <w:t>0.00</w:t>
      </w:r>
      <w:r>
        <w:rPr>
          <w:rFonts w:hint="eastAsia" w:ascii="宋体" w:hAnsi="宋体" w:cs="宋体"/>
          <w:b/>
          <w:bCs/>
          <w:color w:val="auto"/>
          <w:szCs w:val="21"/>
          <w:highlight w:val="none"/>
        </w:rPr>
        <w:t>元），供应商的响应报价不得高于采购人发布的最高限价，否则按无效标处理。</w:t>
      </w:r>
    </w:p>
    <w:p w14:paraId="2B2AEDA0">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16.4投标报价书格式中所有要求签字、盖章的地方，必须由规定的单位和人员签字、盖章。</w:t>
      </w:r>
    </w:p>
    <w:p w14:paraId="28EADEA8">
      <w:pPr>
        <w:spacing w:before="156" w:beforeLines="50" w:after="156" w:afterLines="50" w:line="440" w:lineRule="exact"/>
        <w:jc w:val="center"/>
        <w:outlineLvl w:val="1"/>
        <w:rPr>
          <w:rFonts w:ascii="宋体" w:hAnsi="宋体" w:cs="宋体"/>
          <w:b/>
          <w:bCs/>
          <w:color w:val="auto"/>
          <w:sz w:val="28"/>
          <w:szCs w:val="28"/>
          <w:highlight w:val="none"/>
        </w:rPr>
      </w:pPr>
      <w:bookmarkStart w:id="68" w:name="_Toc18457"/>
      <w:r>
        <w:rPr>
          <w:rFonts w:hint="eastAsia" w:ascii="宋体" w:hAnsi="宋体" w:cs="宋体"/>
          <w:b/>
          <w:bCs/>
          <w:color w:val="auto"/>
          <w:sz w:val="28"/>
          <w:szCs w:val="28"/>
          <w:highlight w:val="none"/>
        </w:rPr>
        <w:t>四、投标文件的密封和递交</w:t>
      </w:r>
      <w:bookmarkEnd w:id="68"/>
    </w:p>
    <w:p w14:paraId="556C8A1A">
      <w:pPr>
        <w:spacing w:line="440" w:lineRule="exact"/>
        <w:ind w:firstLine="422" w:firstLineChars="200"/>
        <w:outlineLvl w:val="2"/>
        <w:rPr>
          <w:rFonts w:ascii="宋体" w:hAnsi="宋体" w:cs="宋体"/>
          <w:b/>
          <w:bCs/>
          <w:color w:val="auto"/>
          <w:szCs w:val="21"/>
          <w:highlight w:val="none"/>
        </w:rPr>
      </w:pPr>
      <w:bookmarkStart w:id="69" w:name="_Toc23252"/>
      <w:r>
        <w:rPr>
          <w:rFonts w:hint="eastAsia" w:ascii="宋体" w:hAnsi="宋体" w:cs="宋体"/>
          <w:b/>
          <w:bCs/>
          <w:color w:val="auto"/>
          <w:szCs w:val="21"/>
          <w:highlight w:val="none"/>
        </w:rPr>
        <w:t>17.   投标文件的份数和签署（投标文件编制、密封）</w:t>
      </w:r>
      <w:bookmarkEnd w:id="69"/>
    </w:p>
    <w:p w14:paraId="3FFAF4B1">
      <w:pPr>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17.1  投标文件：书面文件一式</w:t>
      </w:r>
      <w:r>
        <w:rPr>
          <w:rFonts w:hint="eastAsia" w:ascii="宋体" w:hAnsi="宋体" w:cs="宋体"/>
          <w:color w:val="auto"/>
          <w:szCs w:val="21"/>
          <w:highlight w:val="none"/>
          <w:u w:val="single"/>
        </w:rPr>
        <w:t>三份</w:t>
      </w:r>
      <w:r>
        <w:rPr>
          <w:rFonts w:hint="eastAsia" w:ascii="宋体" w:hAnsi="宋体" w:cs="宋体"/>
          <w:color w:val="auto"/>
          <w:szCs w:val="21"/>
          <w:highlight w:val="none"/>
        </w:rPr>
        <w:t>，正本</w:t>
      </w:r>
      <w:r>
        <w:rPr>
          <w:rFonts w:hint="eastAsia" w:ascii="宋体" w:hAnsi="宋体" w:cs="宋体"/>
          <w:color w:val="auto"/>
          <w:szCs w:val="21"/>
          <w:highlight w:val="none"/>
          <w:u w:val="single"/>
        </w:rPr>
        <w:t xml:space="preserve"> 一 份</w:t>
      </w:r>
      <w:r>
        <w:rPr>
          <w:rFonts w:hint="eastAsia" w:ascii="宋体" w:hAnsi="宋体" w:cs="宋体"/>
          <w:color w:val="auto"/>
          <w:szCs w:val="21"/>
          <w:highlight w:val="none"/>
        </w:rPr>
        <w:t>，副本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二</w:t>
      </w:r>
      <w:r>
        <w:rPr>
          <w:rFonts w:hint="eastAsia" w:ascii="宋体" w:hAnsi="宋体" w:cs="宋体"/>
          <w:color w:val="auto"/>
          <w:szCs w:val="21"/>
          <w:highlight w:val="none"/>
          <w:u w:val="single"/>
        </w:rPr>
        <w:t>份</w:t>
      </w:r>
      <w:r>
        <w:rPr>
          <w:rFonts w:hint="eastAsia" w:ascii="宋体" w:hAnsi="宋体" w:cs="宋体"/>
          <w:b/>
          <w:color w:val="auto"/>
          <w:kern w:val="0"/>
          <w:szCs w:val="21"/>
          <w:highlight w:val="none"/>
        </w:rPr>
        <w:t>。</w:t>
      </w:r>
    </w:p>
    <w:p w14:paraId="1989FDB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17.2  投标文件的正本和副本均需打印或使用不褪色的蓝、黑墨水笔书写，字迹应清晰易于辨认，并应在投标文件封面的右上角清楚地注明“正本”或“副本”。正本和副本如有不一致之处，以正本为准。</w:t>
      </w:r>
    </w:p>
    <w:p w14:paraId="5DD675DF">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17.3 </w:t>
      </w:r>
      <w:r>
        <w:rPr>
          <w:rFonts w:hint="eastAsia" w:ascii="宋体" w:hAnsi="宋体" w:cs="宋体"/>
          <w:b/>
          <w:color w:val="auto"/>
          <w:szCs w:val="21"/>
          <w:highlight w:val="none"/>
        </w:rPr>
        <w:t xml:space="preserve"> </w:t>
      </w:r>
      <w:r>
        <w:rPr>
          <w:rFonts w:hint="eastAsia" w:ascii="宋体" w:hAnsi="宋体" w:cs="宋体"/>
          <w:color w:val="auto"/>
          <w:szCs w:val="21"/>
          <w:highlight w:val="none"/>
        </w:rPr>
        <w:t>投标文件中的授权书、诚信投标承诺书、服务承诺、投标函及投标报价表等材料应当在格式文本要求的相应位置签字和盖章，</w:t>
      </w:r>
      <w:r>
        <w:rPr>
          <w:rFonts w:hint="eastAsia" w:ascii="宋体" w:hAnsi="宋体" w:cs="宋体"/>
          <w:b/>
          <w:color w:val="auto"/>
          <w:szCs w:val="21"/>
          <w:highlight w:val="none"/>
        </w:rPr>
        <w:t>否则</w:t>
      </w:r>
      <w:r>
        <w:rPr>
          <w:rFonts w:hint="eastAsia" w:ascii="宋体" w:hAnsi="宋体" w:cs="宋体"/>
          <w:color w:val="auto"/>
          <w:szCs w:val="21"/>
          <w:highlight w:val="none"/>
        </w:rPr>
        <w:t>，投标文件作无效标处理。</w:t>
      </w:r>
    </w:p>
    <w:p w14:paraId="0774CE8C">
      <w:pPr>
        <w:spacing w:line="440" w:lineRule="exact"/>
        <w:ind w:firstLine="422" w:firstLineChars="200"/>
        <w:jc w:val="left"/>
        <w:outlineLvl w:val="2"/>
        <w:rPr>
          <w:rFonts w:ascii="宋体" w:hAnsi="宋体" w:cs="宋体"/>
          <w:b/>
          <w:bCs/>
          <w:color w:val="auto"/>
          <w:szCs w:val="21"/>
          <w:highlight w:val="none"/>
        </w:rPr>
      </w:pPr>
      <w:bookmarkStart w:id="70" w:name="_Toc435"/>
      <w:r>
        <w:rPr>
          <w:rFonts w:hint="eastAsia" w:ascii="宋体" w:hAnsi="宋体" w:cs="宋体"/>
          <w:b/>
          <w:bCs/>
          <w:color w:val="auto"/>
          <w:szCs w:val="21"/>
          <w:highlight w:val="none"/>
        </w:rPr>
        <w:t>18.   投标文件的装订、密封和标记</w:t>
      </w:r>
      <w:bookmarkEnd w:id="70"/>
    </w:p>
    <w:p w14:paraId="27247EDE">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18.1  投标文件的装订要求</w:t>
      </w:r>
    </w:p>
    <w:p w14:paraId="3E23D25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18.1.1投标文件应当密封装订，按采购文件规定的顺序装订在一起。</w:t>
      </w:r>
    </w:p>
    <w:p w14:paraId="7F49C060">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18.2  投标文件的密封</w:t>
      </w:r>
    </w:p>
    <w:p w14:paraId="4B66227A">
      <w:pPr>
        <w:spacing w:line="440" w:lineRule="exact"/>
        <w:ind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18.2.1</w:t>
      </w:r>
      <w:r>
        <w:rPr>
          <w:rFonts w:hint="eastAsia" w:ascii="宋体" w:hAnsi="宋体" w:cs="宋体"/>
          <w:b/>
          <w:bCs/>
          <w:color w:val="auto"/>
          <w:szCs w:val="21"/>
          <w:highlight w:val="none"/>
        </w:rPr>
        <w:t>资格证明文件正副本密封在资格证明文件袋内，技术标正副本密封在技术标文件袋内，商务标正副本密封在商务标文件袋内。</w:t>
      </w:r>
    </w:p>
    <w:p w14:paraId="2845890C">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18.3  投标文件密封袋的标记</w:t>
      </w:r>
    </w:p>
    <w:p w14:paraId="0EA76C5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18.3.1在投标文件密封袋上应写明投标项目名称、供应商名称。</w:t>
      </w:r>
    </w:p>
    <w:p w14:paraId="47F3734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18.3.2所有投标文件的密封袋应加盖投标供应商印章；否则，该投标文件将被拒绝。</w:t>
      </w:r>
    </w:p>
    <w:p w14:paraId="61999346">
      <w:pPr>
        <w:spacing w:line="440" w:lineRule="exact"/>
        <w:ind w:firstLine="422" w:firstLineChars="200"/>
        <w:jc w:val="left"/>
        <w:outlineLvl w:val="2"/>
        <w:rPr>
          <w:rFonts w:ascii="宋体" w:hAnsi="宋体" w:cs="宋体"/>
          <w:b/>
          <w:bCs/>
          <w:color w:val="auto"/>
          <w:szCs w:val="21"/>
          <w:highlight w:val="none"/>
        </w:rPr>
      </w:pPr>
      <w:bookmarkStart w:id="71" w:name="_Toc10261"/>
      <w:r>
        <w:rPr>
          <w:rFonts w:hint="eastAsia" w:ascii="宋体" w:hAnsi="宋体" w:cs="宋体"/>
          <w:b/>
          <w:bCs/>
          <w:color w:val="auto"/>
          <w:szCs w:val="21"/>
          <w:highlight w:val="none"/>
        </w:rPr>
        <w:t>19.   投标文件的提交</w:t>
      </w:r>
      <w:bookmarkEnd w:id="71"/>
    </w:p>
    <w:p w14:paraId="5BB3DEA3">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19.1  投标文件提交的收件人、截止时间及地点</w:t>
      </w:r>
    </w:p>
    <w:p w14:paraId="1E70F6DF">
      <w:pPr>
        <w:spacing w:line="44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收件人：</w:t>
      </w:r>
      <w:r>
        <w:rPr>
          <w:rFonts w:hint="eastAsia" w:ascii="宋体" w:hAnsi="宋体" w:cs="宋体"/>
          <w:b/>
          <w:bCs/>
          <w:color w:val="auto"/>
          <w:kern w:val="0"/>
          <w:szCs w:val="21"/>
          <w:highlight w:val="none"/>
          <w:u w:val="single"/>
        </w:rPr>
        <w:t>安徽立地工程咨询有限公司</w:t>
      </w:r>
    </w:p>
    <w:p w14:paraId="6EBB92D0">
      <w:pPr>
        <w:spacing w:line="440" w:lineRule="exact"/>
        <w:ind w:firstLine="422" w:firstLineChars="200"/>
        <w:rPr>
          <w:rFonts w:hint="eastAsia" w:ascii="宋体" w:hAnsi="宋体" w:eastAsia="宋体" w:cs="宋体"/>
          <w:color w:val="auto"/>
          <w:kern w:val="0"/>
          <w:szCs w:val="21"/>
          <w:highlight w:val="none"/>
          <w:u w:val="single"/>
          <w:lang w:eastAsia="zh-CN"/>
        </w:rPr>
      </w:pPr>
      <w:r>
        <w:rPr>
          <w:rFonts w:hint="eastAsia" w:ascii="宋体" w:hAnsi="宋体" w:cs="宋体"/>
          <w:b/>
          <w:bCs/>
          <w:color w:val="auto"/>
          <w:kern w:val="0"/>
          <w:szCs w:val="21"/>
          <w:highlight w:val="none"/>
        </w:rPr>
        <w:t>时  间：</w:t>
      </w:r>
      <w:r>
        <w:rPr>
          <w:rFonts w:hint="eastAsia" w:ascii="宋体" w:hAnsi="宋体" w:cs="宋体"/>
          <w:b/>
          <w:bCs/>
          <w:color w:val="auto"/>
          <w:kern w:val="0"/>
          <w:szCs w:val="21"/>
          <w:highlight w:val="none"/>
          <w:lang w:eastAsia="zh-CN"/>
        </w:rPr>
        <w:t>202</w:t>
      </w:r>
      <w:r>
        <w:rPr>
          <w:rFonts w:hint="eastAsia" w:ascii="宋体" w:hAnsi="宋体" w:cs="宋体"/>
          <w:b/>
          <w:bCs/>
          <w:color w:val="auto"/>
          <w:kern w:val="0"/>
          <w:szCs w:val="21"/>
          <w:highlight w:val="none"/>
          <w:lang w:val="en-US" w:eastAsia="zh-CN"/>
        </w:rPr>
        <w:t>5</w:t>
      </w:r>
      <w:r>
        <w:rPr>
          <w:rFonts w:hint="eastAsia" w:ascii="宋体" w:hAnsi="宋体" w:cs="宋体"/>
          <w:b/>
          <w:bCs/>
          <w:color w:val="auto"/>
          <w:kern w:val="0"/>
          <w:szCs w:val="21"/>
          <w:highlight w:val="none"/>
          <w:lang w:eastAsia="zh-CN"/>
        </w:rPr>
        <w:t>年</w:t>
      </w:r>
      <w:r>
        <w:rPr>
          <w:rFonts w:hint="eastAsia" w:ascii="宋体" w:hAnsi="宋体" w:cs="宋体"/>
          <w:b/>
          <w:bCs/>
          <w:color w:val="auto"/>
          <w:kern w:val="0"/>
          <w:szCs w:val="21"/>
          <w:highlight w:val="none"/>
          <w:lang w:val="en-US" w:eastAsia="zh-CN"/>
        </w:rPr>
        <w:t>6</w:t>
      </w:r>
      <w:r>
        <w:rPr>
          <w:rFonts w:hint="eastAsia" w:ascii="宋体" w:hAnsi="宋体" w:cs="宋体"/>
          <w:b/>
          <w:bCs/>
          <w:color w:val="auto"/>
          <w:kern w:val="0"/>
          <w:szCs w:val="21"/>
          <w:highlight w:val="none"/>
          <w:lang w:eastAsia="zh-CN"/>
        </w:rPr>
        <w:t>月</w:t>
      </w:r>
      <w:r>
        <w:rPr>
          <w:rFonts w:hint="eastAsia" w:ascii="宋体" w:hAnsi="宋体" w:cs="宋体"/>
          <w:b/>
          <w:bCs/>
          <w:color w:val="auto"/>
          <w:kern w:val="0"/>
          <w:szCs w:val="21"/>
          <w:highlight w:val="none"/>
          <w:lang w:val="en-US" w:eastAsia="zh-CN"/>
        </w:rPr>
        <w:t>30</w:t>
      </w:r>
      <w:r>
        <w:rPr>
          <w:rFonts w:hint="eastAsia" w:ascii="宋体" w:hAnsi="宋体" w:cs="宋体"/>
          <w:b/>
          <w:bCs/>
          <w:color w:val="auto"/>
          <w:kern w:val="0"/>
          <w:szCs w:val="21"/>
          <w:highlight w:val="none"/>
          <w:lang w:eastAsia="zh-CN"/>
        </w:rPr>
        <w:t>日</w:t>
      </w:r>
      <w:r>
        <w:rPr>
          <w:rFonts w:hint="eastAsia" w:ascii="宋体" w:hAnsi="宋体" w:cs="宋体"/>
          <w:b/>
          <w:bCs/>
          <w:color w:val="auto"/>
          <w:kern w:val="0"/>
          <w:szCs w:val="21"/>
          <w:highlight w:val="none"/>
          <w:lang w:val="en-US" w:eastAsia="zh-CN"/>
        </w:rPr>
        <w:t>9</w:t>
      </w:r>
      <w:r>
        <w:rPr>
          <w:rFonts w:hint="eastAsia" w:ascii="宋体" w:hAnsi="宋体" w:cs="宋体"/>
          <w:b/>
          <w:bCs/>
          <w:color w:val="auto"/>
          <w:kern w:val="0"/>
          <w:szCs w:val="21"/>
          <w:highlight w:val="none"/>
          <w:lang w:eastAsia="zh-CN"/>
        </w:rPr>
        <w:t>时00分</w:t>
      </w:r>
    </w:p>
    <w:p w14:paraId="2CFC328B">
      <w:pPr>
        <w:spacing w:line="440" w:lineRule="exact"/>
        <w:ind w:firstLine="422" w:firstLineChars="200"/>
        <w:rPr>
          <w:rFonts w:ascii="宋体" w:hAnsi="宋体" w:cs="宋体"/>
          <w:color w:val="auto"/>
          <w:kern w:val="0"/>
          <w:szCs w:val="21"/>
          <w:highlight w:val="none"/>
          <w:u w:val="single"/>
        </w:rPr>
      </w:pPr>
      <w:r>
        <w:rPr>
          <w:rFonts w:hint="eastAsia" w:ascii="宋体" w:hAnsi="宋体" w:cs="宋体"/>
          <w:b/>
          <w:bCs/>
          <w:color w:val="auto"/>
          <w:kern w:val="0"/>
          <w:szCs w:val="21"/>
          <w:highlight w:val="none"/>
        </w:rPr>
        <w:t>地  点：</w:t>
      </w:r>
      <w:r>
        <w:rPr>
          <w:rFonts w:hint="eastAsia" w:ascii="宋体" w:hAnsi="宋体" w:cs="宋体"/>
          <w:b/>
          <w:bCs/>
          <w:color w:val="auto"/>
          <w:szCs w:val="21"/>
          <w:highlight w:val="none"/>
        </w:rPr>
        <w:t>滁州市丰乐大道1899号皖东国际车城A区写字楼A6栋3楼</w:t>
      </w:r>
    </w:p>
    <w:p w14:paraId="622BD76F">
      <w:pPr>
        <w:spacing w:before="156" w:beforeLines="50" w:after="156" w:afterLines="50" w:line="440" w:lineRule="exact"/>
        <w:jc w:val="center"/>
        <w:outlineLvl w:val="1"/>
        <w:rPr>
          <w:rFonts w:ascii="宋体" w:hAnsi="宋体" w:cs="宋体"/>
          <w:b/>
          <w:bCs/>
          <w:color w:val="auto"/>
          <w:sz w:val="28"/>
          <w:szCs w:val="28"/>
          <w:highlight w:val="none"/>
        </w:rPr>
      </w:pPr>
      <w:bookmarkStart w:id="72" w:name="_Toc31586"/>
      <w:r>
        <w:rPr>
          <w:rFonts w:hint="eastAsia" w:ascii="宋体" w:hAnsi="宋体" w:cs="宋体"/>
          <w:b/>
          <w:bCs/>
          <w:color w:val="auto"/>
          <w:sz w:val="28"/>
          <w:szCs w:val="28"/>
          <w:highlight w:val="none"/>
        </w:rPr>
        <w:t>五、开标、评标和定标</w:t>
      </w:r>
      <w:bookmarkEnd w:id="72"/>
    </w:p>
    <w:p w14:paraId="46F4AE77">
      <w:pPr>
        <w:spacing w:line="440" w:lineRule="exact"/>
        <w:ind w:firstLine="422" w:firstLineChars="200"/>
        <w:jc w:val="left"/>
        <w:outlineLvl w:val="2"/>
        <w:rPr>
          <w:rFonts w:ascii="宋体" w:hAnsi="宋体" w:cs="宋体"/>
          <w:b/>
          <w:bCs/>
          <w:color w:val="auto"/>
          <w:szCs w:val="21"/>
          <w:highlight w:val="none"/>
        </w:rPr>
      </w:pPr>
      <w:bookmarkStart w:id="73" w:name="_Toc10194"/>
      <w:r>
        <w:rPr>
          <w:rFonts w:hint="eastAsia" w:ascii="宋体" w:hAnsi="宋体" w:cs="宋体"/>
          <w:b/>
          <w:bCs/>
          <w:color w:val="auto"/>
          <w:szCs w:val="21"/>
          <w:highlight w:val="none"/>
        </w:rPr>
        <w:t>20.   开标</w:t>
      </w:r>
      <w:bookmarkEnd w:id="73"/>
    </w:p>
    <w:p w14:paraId="33D5EFB6">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20.1  开标的时间和地点</w:t>
      </w:r>
    </w:p>
    <w:p w14:paraId="3159E2D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20.1.1采购人按本须知第19.1条提交投标文件的截止时间和地点开标，并邀请所有投标供应商参加。</w:t>
      </w:r>
    </w:p>
    <w:p w14:paraId="60606E7B">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20.2  参与开标的监督部门</w:t>
      </w:r>
    </w:p>
    <w:p w14:paraId="6E7B41BE">
      <w:pPr>
        <w:spacing w:line="440" w:lineRule="exact"/>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20.2.1参与开标的部门包括：采购单位、代理机构等。</w:t>
      </w:r>
    </w:p>
    <w:p w14:paraId="099606CB">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20.3  对参加开标的投标供应商的要求</w:t>
      </w:r>
    </w:p>
    <w:p w14:paraId="5B8F5B75">
      <w:pPr>
        <w:spacing w:line="440" w:lineRule="exact"/>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20.3.1开标程序</w:t>
      </w:r>
    </w:p>
    <w:p w14:paraId="25B47CCF">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开标会议由安徽立地工程咨询有限公司（代理机构）主持。</w:t>
      </w:r>
    </w:p>
    <w:p w14:paraId="1824DAD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（1）宣布开标纪律；</w:t>
      </w:r>
    </w:p>
    <w:p w14:paraId="58ECCC3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（2）宣布招标（采购）人、代理机构主持人等有关人员姓名；</w:t>
      </w:r>
    </w:p>
    <w:p w14:paraId="0F642158">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（3）公布投标截止时间前，通过在</w:t>
      </w:r>
      <w:r>
        <w:rPr>
          <w:rFonts w:hint="eastAsia" w:ascii="宋体" w:hAnsi="宋体" w:cs="宋体"/>
          <w:bCs/>
          <w:color w:val="auto"/>
          <w:szCs w:val="21"/>
          <w:highlight w:val="none"/>
        </w:rPr>
        <w:t>滁州学院网站（http://zcc.chzu.edu.cn）资产与实验室管理处网页采购公告栏下载文件并按时递交投标文件的</w:t>
      </w:r>
      <w:r>
        <w:rPr>
          <w:rFonts w:hint="eastAsia" w:ascii="宋体" w:hAnsi="宋体" w:cs="宋体"/>
          <w:color w:val="auto"/>
          <w:szCs w:val="21"/>
          <w:highlight w:val="none"/>
        </w:rPr>
        <w:t xml:space="preserve">投标供应商名称及投标保证金缴纳情况等； </w:t>
      </w:r>
    </w:p>
    <w:p w14:paraId="0F5FF70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（4）公布投标供应商投标报价、质量目标、供货期及其他内容，并记录在案；</w:t>
      </w:r>
    </w:p>
    <w:p w14:paraId="6F938028">
      <w:pPr>
        <w:spacing w:line="440" w:lineRule="exact"/>
        <w:ind w:firstLine="420" w:firstLineChars="200"/>
        <w:jc w:val="left"/>
        <w:outlineLvl w:val="0"/>
        <w:rPr>
          <w:rFonts w:ascii="宋体" w:hAnsi="宋体" w:cs="宋体"/>
          <w:color w:val="auto"/>
          <w:szCs w:val="21"/>
          <w:highlight w:val="none"/>
        </w:rPr>
      </w:pPr>
      <w:bookmarkStart w:id="74" w:name="_Toc618"/>
      <w:r>
        <w:rPr>
          <w:rFonts w:hint="eastAsia" w:ascii="宋体" w:hAnsi="宋体" w:cs="宋体"/>
          <w:color w:val="auto"/>
          <w:szCs w:val="21"/>
          <w:highlight w:val="none"/>
        </w:rPr>
        <w:t>（5）开标结束。</w:t>
      </w:r>
      <w:bookmarkEnd w:id="74"/>
    </w:p>
    <w:p w14:paraId="08A8717A">
      <w:pPr>
        <w:spacing w:line="440" w:lineRule="exact"/>
        <w:ind w:firstLine="420" w:firstLineChars="200"/>
        <w:jc w:val="left"/>
        <w:outlineLvl w:val="1"/>
        <w:rPr>
          <w:rFonts w:ascii="宋体" w:hAnsi="宋体" w:cs="宋体"/>
          <w:color w:val="auto"/>
          <w:szCs w:val="21"/>
          <w:highlight w:val="none"/>
        </w:rPr>
      </w:pPr>
      <w:r>
        <w:rPr>
          <w:rFonts w:hint="eastAsia" w:ascii="宋体" w:hAnsi="宋体" w:cs="宋体"/>
          <w:color w:val="auto"/>
          <w:szCs w:val="21"/>
          <w:highlight w:val="none"/>
        </w:rPr>
        <w:t xml:space="preserve"> </w:t>
      </w:r>
      <w:bookmarkStart w:id="75" w:name="_Toc6681"/>
      <w:r>
        <w:rPr>
          <w:rFonts w:hint="eastAsia" w:ascii="宋体" w:hAnsi="宋体" w:cs="宋体"/>
          <w:color w:val="auto"/>
          <w:szCs w:val="21"/>
          <w:highlight w:val="none"/>
        </w:rPr>
        <w:t>20.3.2开标异议</w:t>
      </w:r>
      <w:bookmarkEnd w:id="75"/>
    </w:p>
    <w:p w14:paraId="4115FB02">
      <w:pPr>
        <w:pStyle w:val="25"/>
        <w:spacing w:line="440" w:lineRule="exact"/>
        <w:ind w:firstLine="420"/>
        <w:rPr>
          <w:rFonts w:hAnsi="宋体" w:cs="宋体"/>
          <w:color w:val="auto"/>
          <w:sz w:val="21"/>
          <w:szCs w:val="21"/>
          <w:highlight w:val="none"/>
        </w:rPr>
      </w:pPr>
      <w:r>
        <w:rPr>
          <w:rFonts w:hint="eastAsia" w:hAnsi="宋体" w:cs="宋体"/>
          <w:color w:val="auto"/>
          <w:sz w:val="21"/>
          <w:szCs w:val="21"/>
          <w:highlight w:val="none"/>
        </w:rPr>
        <w:t>投标供应商对开标有异议的，应当在开标现场提出，采购人当场作出答复，并制作记录。</w:t>
      </w:r>
    </w:p>
    <w:p w14:paraId="034B639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20.3.3投标供应商的法定代表人（或委托代理人）应当参加开标会议，投标供应商在开标时必须</w:t>
      </w:r>
      <w:r>
        <w:rPr>
          <w:rFonts w:hint="eastAsia" w:ascii="宋体" w:hAnsi="宋体" w:cs="宋体"/>
          <w:bCs/>
          <w:color w:val="auto"/>
          <w:szCs w:val="21"/>
          <w:highlight w:val="none"/>
        </w:rPr>
        <w:t>携带（手持或封入文件袋中均视为携带）</w:t>
      </w:r>
      <w:r>
        <w:rPr>
          <w:rFonts w:hint="eastAsia" w:ascii="宋体" w:hAnsi="宋体" w:cs="宋体"/>
          <w:color w:val="auto"/>
          <w:szCs w:val="21"/>
          <w:highlight w:val="none"/>
        </w:rPr>
        <w:t>下列证件的</w:t>
      </w:r>
      <w:r>
        <w:rPr>
          <w:rFonts w:hint="eastAsia" w:ascii="宋体" w:hAnsi="宋体" w:cs="宋体"/>
          <w:b/>
          <w:color w:val="auto"/>
          <w:szCs w:val="21"/>
          <w:highlight w:val="none"/>
        </w:rPr>
        <w:t>原件（或复印件加盖投标供应商公章）</w:t>
      </w:r>
      <w:r>
        <w:rPr>
          <w:rFonts w:hint="eastAsia" w:ascii="宋体" w:hAnsi="宋体" w:cs="宋体"/>
          <w:color w:val="auto"/>
          <w:szCs w:val="21"/>
          <w:highlight w:val="none"/>
        </w:rPr>
        <w:t>，以供资格审查</w:t>
      </w:r>
      <w:r>
        <w:rPr>
          <w:rFonts w:hint="eastAsia" w:ascii="宋体" w:hAnsi="宋体" w:cs="宋体"/>
          <w:b/>
          <w:color w:val="auto"/>
          <w:szCs w:val="21"/>
          <w:highlight w:val="none"/>
        </w:rPr>
        <w:t>，</w:t>
      </w:r>
      <w:r>
        <w:rPr>
          <w:rFonts w:hint="eastAsia" w:ascii="宋体" w:hAnsi="宋体" w:cs="宋体"/>
          <w:color w:val="auto"/>
          <w:szCs w:val="21"/>
          <w:highlight w:val="none"/>
        </w:rPr>
        <w:t>否则，该投标供应商的投标文件将被拒绝。</w:t>
      </w:r>
    </w:p>
    <w:p w14:paraId="7E37F52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（1）法定代表人身份证明和本人有效身份证（或法定代表人授权委托书和委托代理人有效身份证）；</w:t>
      </w:r>
    </w:p>
    <w:p w14:paraId="43C52247">
      <w:pPr>
        <w:spacing w:line="440" w:lineRule="exact"/>
        <w:ind w:firstLine="420" w:firstLineChars="200"/>
        <w:jc w:val="left"/>
        <w:outlineLvl w:val="0"/>
        <w:rPr>
          <w:rFonts w:ascii="宋体" w:hAnsi="宋体" w:cs="宋体"/>
          <w:color w:val="auto"/>
          <w:szCs w:val="21"/>
          <w:highlight w:val="none"/>
        </w:rPr>
      </w:pPr>
      <w:bookmarkStart w:id="76" w:name="_Toc18197"/>
      <w:r>
        <w:rPr>
          <w:rFonts w:hint="eastAsia" w:ascii="宋体" w:hAnsi="宋体" w:cs="宋体"/>
          <w:color w:val="auto"/>
          <w:szCs w:val="21"/>
          <w:highlight w:val="none"/>
        </w:rPr>
        <w:t>（2）企业营业执照。</w:t>
      </w:r>
      <w:bookmarkEnd w:id="76"/>
    </w:p>
    <w:p w14:paraId="7CC0DC6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只有通过资格审查的投标供应商才能进入下一步的开标程序。</w:t>
      </w:r>
    </w:p>
    <w:p w14:paraId="0DD52B40">
      <w:pPr>
        <w:spacing w:line="440" w:lineRule="exact"/>
        <w:ind w:firstLine="420" w:firstLineChars="200"/>
        <w:jc w:val="left"/>
        <w:outlineLvl w:val="1"/>
        <w:rPr>
          <w:rFonts w:ascii="宋体" w:hAnsi="宋体" w:cs="宋体"/>
          <w:color w:val="auto"/>
          <w:szCs w:val="21"/>
          <w:highlight w:val="none"/>
        </w:rPr>
      </w:pPr>
      <w:bookmarkStart w:id="77" w:name="_Toc25783"/>
      <w:r>
        <w:rPr>
          <w:rFonts w:hint="eastAsia" w:ascii="宋体" w:hAnsi="宋体" w:cs="宋体"/>
          <w:color w:val="auto"/>
          <w:szCs w:val="21"/>
          <w:highlight w:val="none"/>
        </w:rPr>
        <w:t>20.4  开标程序</w:t>
      </w:r>
      <w:bookmarkEnd w:id="77"/>
    </w:p>
    <w:p w14:paraId="45E8EE39">
      <w:pPr>
        <w:spacing w:line="440" w:lineRule="exact"/>
        <w:ind w:firstLine="420" w:firstLineChars="200"/>
        <w:jc w:val="left"/>
        <w:outlineLvl w:val="2"/>
        <w:rPr>
          <w:rFonts w:ascii="宋体" w:hAnsi="宋体" w:cs="宋体"/>
          <w:color w:val="auto"/>
          <w:szCs w:val="21"/>
          <w:highlight w:val="none"/>
        </w:rPr>
      </w:pPr>
      <w:bookmarkStart w:id="78" w:name="_Toc23550"/>
      <w:r>
        <w:rPr>
          <w:rFonts w:hint="eastAsia" w:ascii="宋体" w:hAnsi="宋体" w:cs="宋体"/>
          <w:color w:val="auto"/>
          <w:szCs w:val="21"/>
          <w:highlight w:val="none"/>
        </w:rPr>
        <w:t>①开标会议由招标代理机构：</w:t>
      </w:r>
      <w:r>
        <w:rPr>
          <w:rFonts w:hint="eastAsia" w:ascii="宋体" w:hAnsi="宋体" w:cs="宋体"/>
          <w:color w:val="auto"/>
          <w:szCs w:val="21"/>
          <w:highlight w:val="none"/>
          <w:u w:val="single"/>
        </w:rPr>
        <w:t xml:space="preserve">安徽立地工程咨询有限公司 </w:t>
      </w:r>
      <w:r>
        <w:rPr>
          <w:rFonts w:hint="eastAsia" w:ascii="宋体" w:hAnsi="宋体" w:cs="宋体"/>
          <w:color w:val="auto"/>
          <w:szCs w:val="21"/>
          <w:highlight w:val="none"/>
        </w:rPr>
        <w:t>主持；</w:t>
      </w:r>
      <w:bookmarkEnd w:id="78"/>
    </w:p>
    <w:p w14:paraId="1407CE7C">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②采购人对各投标供应商的法定代表人（或委托代理人）第20.3.3条要求对各投标供应商进行验证确认；</w:t>
      </w:r>
    </w:p>
    <w:p w14:paraId="0A89335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③由投标供应商或其推选的代表检查投标文件的密封情况，也可以由采购人委托的公证机构检查并公证；</w:t>
      </w:r>
    </w:p>
    <w:p w14:paraId="4C83E866">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④经确认无误后，由有关工作人员当众拆封，宣读投标供应商名称、投标报价和投标文件的其他主要内容并报送评标委员会评审。</w:t>
      </w:r>
    </w:p>
    <w:p w14:paraId="7B776FB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⑤对投标供应商的投标书进行计算错误复核；</w:t>
      </w:r>
    </w:p>
    <w:p w14:paraId="30049C96">
      <w:pPr>
        <w:pStyle w:val="15"/>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⑥由采购人宣布中标候选人；</w:t>
      </w:r>
    </w:p>
    <w:p w14:paraId="3BF804D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⑦ </w:t>
      </w:r>
      <w:r>
        <w:rPr>
          <w:rFonts w:hint="eastAsia" w:ascii="宋体" w:hAnsi="宋体" w:cs="宋体"/>
          <w:color w:val="auto"/>
          <w:szCs w:val="21"/>
          <w:highlight w:val="none"/>
          <w:u w:val="single"/>
        </w:rPr>
        <w:t xml:space="preserve">代理机构 </w:t>
      </w:r>
      <w:r>
        <w:rPr>
          <w:rFonts w:hint="eastAsia" w:ascii="宋体" w:hAnsi="宋体" w:cs="宋体"/>
          <w:color w:val="auto"/>
          <w:szCs w:val="21"/>
          <w:highlight w:val="none"/>
        </w:rPr>
        <w:t>对开标过程进行记录，并存档备查。</w:t>
      </w:r>
    </w:p>
    <w:p w14:paraId="34DE06CB">
      <w:pPr>
        <w:spacing w:line="440" w:lineRule="exact"/>
        <w:ind w:firstLine="420" w:firstLineChars="200"/>
        <w:jc w:val="left"/>
        <w:outlineLvl w:val="1"/>
        <w:rPr>
          <w:rFonts w:ascii="宋体" w:hAnsi="宋体" w:cs="宋体"/>
          <w:color w:val="auto"/>
          <w:szCs w:val="21"/>
          <w:highlight w:val="none"/>
        </w:rPr>
      </w:pPr>
      <w:bookmarkStart w:id="79" w:name="_Toc3030"/>
      <w:r>
        <w:rPr>
          <w:rFonts w:hint="eastAsia" w:ascii="宋体" w:hAnsi="宋体" w:cs="宋体"/>
          <w:color w:val="auto"/>
          <w:szCs w:val="21"/>
          <w:highlight w:val="none"/>
        </w:rPr>
        <w:t>20.5评标</w:t>
      </w:r>
      <w:bookmarkEnd w:id="79"/>
    </w:p>
    <w:p w14:paraId="44B7620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 评标准备工作</w:t>
      </w:r>
    </w:p>
    <w:p w14:paraId="4A39716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②阅读由采购人或代理机构编写的招标项目情况的说明材料；</w:t>
      </w:r>
    </w:p>
    <w:p w14:paraId="18C1413C">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③阅读、研究采购文件和相关评标资料，获取评标所需要的重要信息和数据；</w:t>
      </w:r>
    </w:p>
    <w:p w14:paraId="48F05E15">
      <w:pPr>
        <w:spacing w:line="44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④</w:t>
      </w:r>
      <w:r>
        <w:rPr>
          <w:rFonts w:hint="eastAsia" w:ascii="宋体" w:hAnsi="宋体" w:cs="宋体"/>
          <w:color w:val="auto"/>
          <w:szCs w:val="21"/>
          <w:highlight w:val="none"/>
        </w:rPr>
        <w:t>熟悉采购文件规定的评标方法及在评标过程中需要考虑的相关因素；</w:t>
      </w:r>
    </w:p>
    <w:p w14:paraId="485629D0">
      <w:pPr>
        <w:spacing w:line="440" w:lineRule="exact"/>
        <w:ind w:firstLine="420" w:firstLineChars="200"/>
        <w:jc w:val="left"/>
        <w:outlineLvl w:val="2"/>
        <w:rPr>
          <w:rFonts w:ascii="宋体" w:hAnsi="宋体" w:cs="宋体"/>
          <w:color w:val="auto"/>
          <w:szCs w:val="21"/>
          <w:highlight w:val="none"/>
        </w:rPr>
      </w:pPr>
      <w:bookmarkStart w:id="80" w:name="_Toc26808"/>
      <w:r>
        <w:rPr>
          <w:rFonts w:hint="eastAsia" w:ascii="宋体" w:hAnsi="宋体" w:cs="宋体"/>
          <w:color w:val="auto"/>
          <w:szCs w:val="21"/>
          <w:highlight w:val="none"/>
        </w:rPr>
        <w:t>⑤核对评标工作用表。</w:t>
      </w:r>
      <w:bookmarkEnd w:id="80"/>
    </w:p>
    <w:p w14:paraId="2C8EF6C4">
      <w:pPr>
        <w:spacing w:line="440" w:lineRule="exact"/>
        <w:ind w:firstLine="420" w:firstLineChars="200"/>
        <w:jc w:val="left"/>
        <w:outlineLvl w:val="1"/>
        <w:rPr>
          <w:rFonts w:ascii="宋体" w:hAnsi="宋体" w:cs="宋体"/>
          <w:color w:val="auto"/>
          <w:szCs w:val="21"/>
          <w:highlight w:val="none"/>
        </w:rPr>
      </w:pPr>
      <w:bookmarkStart w:id="81" w:name="_Toc17538"/>
      <w:r>
        <w:rPr>
          <w:rFonts w:hint="eastAsia" w:ascii="宋体" w:hAnsi="宋体" w:cs="宋体"/>
          <w:color w:val="auto"/>
          <w:szCs w:val="21"/>
          <w:highlight w:val="none"/>
        </w:rPr>
        <w:t>29.2  评标办法</w:t>
      </w:r>
      <w:bookmarkEnd w:id="81"/>
    </w:p>
    <w:p w14:paraId="039D8DC1">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29.2.1评标委员会按照第三章“评标办法”规定的方法、评审因素、标准和程序对投标文件进行评审。第三章“评标办法”没有规定的方法、评审因素和标准，不作为评标依据。</w:t>
      </w:r>
    </w:p>
    <w:p w14:paraId="4E53E2B4">
      <w:pPr>
        <w:spacing w:line="440" w:lineRule="exact"/>
        <w:ind w:firstLine="420" w:firstLineChars="200"/>
        <w:jc w:val="left"/>
        <w:outlineLvl w:val="1"/>
        <w:rPr>
          <w:rFonts w:ascii="宋体" w:hAnsi="宋体" w:cs="宋体"/>
          <w:color w:val="auto"/>
          <w:szCs w:val="21"/>
          <w:highlight w:val="none"/>
        </w:rPr>
      </w:pPr>
      <w:bookmarkStart w:id="82" w:name="_Toc29376"/>
      <w:r>
        <w:rPr>
          <w:rFonts w:hint="eastAsia" w:ascii="宋体" w:hAnsi="宋体" w:cs="宋体"/>
          <w:color w:val="auto"/>
          <w:szCs w:val="21"/>
          <w:highlight w:val="none"/>
        </w:rPr>
        <w:t>20.6评标原则：</w:t>
      </w:r>
      <w:bookmarkEnd w:id="82"/>
    </w:p>
    <w:p w14:paraId="032CF913">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遵循公平、公正、科学和择优的原则。</w:t>
      </w:r>
    </w:p>
    <w:p w14:paraId="6F5BEDAB">
      <w:pPr>
        <w:spacing w:line="440" w:lineRule="exact"/>
        <w:ind w:firstLine="422" w:firstLineChars="200"/>
        <w:jc w:val="left"/>
        <w:outlineLvl w:val="1"/>
        <w:rPr>
          <w:rFonts w:ascii="宋体" w:hAnsi="宋体" w:cs="宋体"/>
          <w:b/>
          <w:bCs/>
          <w:color w:val="auto"/>
          <w:szCs w:val="21"/>
          <w:highlight w:val="none"/>
        </w:rPr>
      </w:pPr>
      <w:bookmarkStart w:id="83" w:name="_Toc6243"/>
      <w:r>
        <w:rPr>
          <w:rFonts w:hint="eastAsia" w:ascii="宋体" w:hAnsi="宋体" w:cs="宋体"/>
          <w:b/>
          <w:bCs/>
          <w:color w:val="auto"/>
          <w:szCs w:val="21"/>
          <w:highlight w:val="none"/>
        </w:rPr>
        <w:t>20.7关于提供相同品牌的处理 （本项目不采用）</w:t>
      </w:r>
      <w:bookmarkEnd w:id="83"/>
    </w:p>
    <w:p w14:paraId="34B9B9E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人推荐资格；评审得分相同的，由采购人或者采购人委托评标委员会按照采购文件规定的方式确定一个投标供应商获得中标人推荐资格，采购文件未规定的，采取随机抽取方式确定，其他同品牌投标供应商不作为中标候选人。</w:t>
      </w:r>
    </w:p>
    <w:p w14:paraId="541E8CC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非单一产品采购项目，采购人应当根据采购项目技术构成、产品价格比重等合理确定核心产品，并在采购文件中载明。多家投标供应商提供的核心产品品牌相同的，按前款规定处理。</w:t>
      </w:r>
    </w:p>
    <w:p w14:paraId="330C1D77">
      <w:pPr>
        <w:spacing w:line="440" w:lineRule="exact"/>
        <w:ind w:firstLine="422" w:firstLineChars="200"/>
        <w:jc w:val="left"/>
        <w:outlineLvl w:val="1"/>
        <w:rPr>
          <w:rFonts w:ascii="宋体" w:hAnsi="宋体" w:cs="宋体"/>
          <w:b/>
          <w:bCs/>
          <w:color w:val="auto"/>
          <w:szCs w:val="21"/>
          <w:highlight w:val="none"/>
        </w:rPr>
      </w:pPr>
      <w:bookmarkStart w:id="84" w:name="_Toc30420"/>
      <w:r>
        <w:rPr>
          <w:rFonts w:hint="eastAsia" w:ascii="宋体" w:hAnsi="宋体" w:cs="宋体"/>
          <w:b/>
          <w:bCs/>
          <w:color w:val="auto"/>
          <w:szCs w:val="21"/>
          <w:highlight w:val="none"/>
        </w:rPr>
        <w:t>21. 无效投标文件</w:t>
      </w:r>
      <w:bookmarkEnd w:id="84"/>
    </w:p>
    <w:p w14:paraId="72D33046">
      <w:pPr>
        <w:spacing w:line="440" w:lineRule="exact"/>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21.1投标文件出现下列情形之一的，投标文件无效，采购人不予受理。</w:t>
      </w:r>
    </w:p>
    <w:p w14:paraId="2AEFE9AA">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①逾期送达的或未送达指定地点的；</w:t>
      </w:r>
    </w:p>
    <w:p w14:paraId="50E3D887">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②未按采购文件要求密封的；</w:t>
      </w:r>
    </w:p>
    <w:p w14:paraId="4FF68E9B">
      <w:pPr>
        <w:spacing w:line="440" w:lineRule="exact"/>
        <w:ind w:firstLine="422" w:firstLineChars="200"/>
        <w:jc w:val="left"/>
        <w:outlineLvl w:val="1"/>
        <w:rPr>
          <w:rFonts w:ascii="宋体" w:hAnsi="宋体" w:cs="宋体"/>
          <w:b/>
          <w:bCs/>
          <w:color w:val="auto"/>
          <w:szCs w:val="21"/>
          <w:highlight w:val="none"/>
        </w:rPr>
      </w:pPr>
      <w:bookmarkStart w:id="85" w:name="_Toc3112"/>
      <w:r>
        <w:rPr>
          <w:rFonts w:hint="eastAsia" w:ascii="宋体" w:hAnsi="宋体" w:cs="宋体"/>
          <w:b/>
          <w:bCs/>
          <w:color w:val="auto"/>
          <w:szCs w:val="21"/>
          <w:highlight w:val="none"/>
        </w:rPr>
        <w:t>22. 定标</w:t>
      </w:r>
      <w:bookmarkEnd w:id="85"/>
    </w:p>
    <w:p w14:paraId="40C9A8CD">
      <w:pPr>
        <w:spacing w:line="440" w:lineRule="exact"/>
        <w:ind w:firstLine="420" w:firstLineChars="200"/>
        <w:jc w:val="left"/>
        <w:outlineLvl w:val="2"/>
        <w:rPr>
          <w:rFonts w:ascii="宋体" w:hAnsi="宋体" w:cs="宋体"/>
          <w:color w:val="auto"/>
          <w:szCs w:val="21"/>
          <w:highlight w:val="none"/>
        </w:rPr>
      </w:pPr>
      <w:bookmarkStart w:id="86" w:name="_Toc7714"/>
      <w:r>
        <w:rPr>
          <w:rFonts w:hint="eastAsia" w:ascii="宋体" w:hAnsi="宋体" w:cs="宋体"/>
          <w:color w:val="auto"/>
          <w:szCs w:val="21"/>
          <w:highlight w:val="none"/>
        </w:rPr>
        <w:t>22.1  中标候选人的确定</w:t>
      </w:r>
      <w:bookmarkEnd w:id="86"/>
    </w:p>
    <w:p w14:paraId="135D87C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22.1.1除投标供应商须知前附表规定评标委员会直接确定中标人外，采购人依据评标委员会推荐的中标候选人确定中标人，评标委员会推荐中标候选人的人数见投标供应商须知前附表。</w:t>
      </w:r>
    </w:p>
    <w:p w14:paraId="062FC0AF">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22.1.2中标人确定后，采购人应将中标人名单在</w:t>
      </w:r>
      <w:r>
        <w:rPr>
          <w:rFonts w:hint="eastAsia" w:ascii="宋体" w:hAnsi="宋体" w:cs="宋体"/>
          <w:bCs/>
          <w:color w:val="auto"/>
          <w:szCs w:val="21"/>
          <w:highlight w:val="none"/>
        </w:rPr>
        <w:t>滁州学院网站（http://zcc.chzu.edu.cn）资产与实验室管理处网页采购公告栏处予以公告</w:t>
      </w:r>
      <w:r>
        <w:rPr>
          <w:rFonts w:hint="eastAsia" w:ascii="宋体" w:hAnsi="宋体" w:cs="宋体"/>
          <w:color w:val="auto"/>
          <w:szCs w:val="21"/>
          <w:highlight w:val="none"/>
        </w:rPr>
        <w:t>。</w:t>
      </w:r>
    </w:p>
    <w:p w14:paraId="70FF9AB1">
      <w:pPr>
        <w:pStyle w:val="13"/>
        <w:spacing w:line="440" w:lineRule="exact"/>
        <w:ind w:firstLine="420" w:firstLineChars="200"/>
        <w:jc w:val="left"/>
        <w:rPr>
          <w:rFonts w:hAnsi="宋体" w:cs="宋体"/>
          <w:color w:val="auto"/>
          <w:szCs w:val="21"/>
          <w:highlight w:val="none"/>
        </w:rPr>
      </w:pPr>
      <w:r>
        <w:rPr>
          <w:rFonts w:hint="eastAsia" w:hAnsi="宋体" w:cs="宋体"/>
          <w:color w:val="auto"/>
          <w:szCs w:val="21"/>
          <w:highlight w:val="none"/>
        </w:rPr>
        <w:t>22.1.3在采购文件规定的响应文件递交截止时间后，供应商不足三家或在评审期间，出现符合条件的供应商不足三家的情形时，本项目流标进行二次招标。</w:t>
      </w:r>
    </w:p>
    <w:p w14:paraId="18DE5D15">
      <w:pPr>
        <w:spacing w:line="440" w:lineRule="exact"/>
        <w:ind w:firstLine="422" w:firstLineChars="200"/>
        <w:jc w:val="left"/>
        <w:outlineLvl w:val="1"/>
        <w:rPr>
          <w:rFonts w:ascii="宋体" w:hAnsi="宋体" w:cs="宋体"/>
          <w:b/>
          <w:bCs/>
          <w:color w:val="auto"/>
          <w:szCs w:val="21"/>
          <w:highlight w:val="none"/>
        </w:rPr>
      </w:pPr>
      <w:bookmarkStart w:id="87" w:name="_Toc1664"/>
      <w:r>
        <w:rPr>
          <w:rFonts w:hint="eastAsia" w:ascii="宋体" w:hAnsi="宋体" w:cs="宋体"/>
          <w:b/>
          <w:bCs/>
          <w:color w:val="auto"/>
          <w:szCs w:val="21"/>
          <w:highlight w:val="none"/>
        </w:rPr>
        <w:t>23中标价</w:t>
      </w:r>
      <w:bookmarkEnd w:id="87"/>
    </w:p>
    <w:p w14:paraId="25A5ADF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23.1</w:t>
      </w:r>
      <w:r>
        <w:rPr>
          <w:rFonts w:hint="eastAsia" w:ascii="宋体" w:hAnsi="宋体" w:cs="宋体"/>
          <w:color w:val="auto"/>
          <w:kern w:val="0"/>
          <w:szCs w:val="21"/>
          <w:highlight w:val="none"/>
        </w:rPr>
        <w:t>在评标中经过修正的中标单位的投标总报价作为中标价，中标价即为合同价。</w:t>
      </w:r>
      <w:r>
        <w:rPr>
          <w:rFonts w:hint="eastAsia" w:ascii="宋体" w:hAnsi="宋体" w:cs="宋体"/>
          <w:b/>
          <w:bCs/>
          <w:color w:val="auto"/>
          <w:kern w:val="0"/>
          <w:szCs w:val="21"/>
          <w:highlight w:val="none"/>
        </w:rPr>
        <w:t>本项目采用固定单价合同，中标后所报单价不予调整。</w:t>
      </w:r>
    </w:p>
    <w:p w14:paraId="600EE30C">
      <w:pPr>
        <w:spacing w:before="156" w:beforeLines="50" w:after="156" w:afterLines="50" w:line="440" w:lineRule="exact"/>
        <w:jc w:val="center"/>
        <w:outlineLvl w:val="1"/>
        <w:rPr>
          <w:rFonts w:ascii="宋体" w:hAnsi="宋体" w:cs="宋体"/>
          <w:color w:val="auto"/>
          <w:szCs w:val="21"/>
          <w:highlight w:val="none"/>
        </w:rPr>
      </w:pPr>
      <w:bookmarkStart w:id="88" w:name="_Toc30200"/>
      <w:r>
        <w:rPr>
          <w:rFonts w:hint="eastAsia" w:ascii="宋体" w:hAnsi="宋体" w:cs="宋体"/>
          <w:b/>
          <w:bCs/>
          <w:color w:val="auto"/>
          <w:sz w:val="28"/>
          <w:szCs w:val="28"/>
          <w:highlight w:val="none"/>
        </w:rPr>
        <w:t>六、合同的授予</w:t>
      </w:r>
      <w:bookmarkEnd w:id="88"/>
    </w:p>
    <w:p w14:paraId="36291DCC">
      <w:pPr>
        <w:spacing w:line="440" w:lineRule="exact"/>
        <w:ind w:firstLine="422" w:firstLineChars="200"/>
        <w:jc w:val="left"/>
        <w:outlineLvl w:val="2"/>
        <w:rPr>
          <w:rFonts w:ascii="宋体" w:hAnsi="宋体" w:cs="宋体"/>
          <w:b/>
          <w:bCs/>
          <w:color w:val="auto"/>
          <w:szCs w:val="21"/>
          <w:highlight w:val="none"/>
        </w:rPr>
      </w:pPr>
      <w:bookmarkStart w:id="89" w:name="_Toc25482"/>
      <w:r>
        <w:rPr>
          <w:rFonts w:hint="eastAsia" w:ascii="宋体" w:hAnsi="宋体" w:cs="宋体"/>
          <w:b/>
          <w:bCs/>
          <w:color w:val="auto"/>
          <w:szCs w:val="21"/>
          <w:highlight w:val="none"/>
        </w:rPr>
        <w:t>24. 合同授予标准</w:t>
      </w:r>
      <w:bookmarkEnd w:id="89"/>
    </w:p>
    <w:p w14:paraId="6268FE2A">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24.1  本招标采购的合同将授予按本须知第22条规定所确定的中标人。</w:t>
      </w:r>
    </w:p>
    <w:p w14:paraId="70EB700A">
      <w:pPr>
        <w:spacing w:line="440" w:lineRule="exact"/>
        <w:ind w:firstLine="422" w:firstLineChars="200"/>
        <w:jc w:val="left"/>
        <w:outlineLvl w:val="2"/>
        <w:rPr>
          <w:rFonts w:ascii="宋体" w:hAnsi="宋体" w:cs="宋体"/>
          <w:b/>
          <w:bCs/>
          <w:color w:val="auto"/>
          <w:szCs w:val="21"/>
          <w:highlight w:val="none"/>
        </w:rPr>
      </w:pPr>
      <w:bookmarkStart w:id="90" w:name="_Toc1492"/>
      <w:r>
        <w:rPr>
          <w:rFonts w:hint="eastAsia" w:ascii="宋体" w:hAnsi="宋体" w:cs="宋体"/>
          <w:b/>
          <w:bCs/>
          <w:color w:val="auto"/>
          <w:szCs w:val="21"/>
          <w:highlight w:val="none"/>
        </w:rPr>
        <w:t>25. 合同协议书的签订</w:t>
      </w:r>
      <w:bookmarkEnd w:id="90"/>
    </w:p>
    <w:p w14:paraId="1336273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25.1  采购人与中标人将于项目公示结束并确定中标单位起</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个工作</w:t>
      </w:r>
      <w:r>
        <w:rPr>
          <w:rFonts w:hint="eastAsia" w:ascii="宋体" w:hAnsi="宋体" w:cs="宋体"/>
          <w:color w:val="auto"/>
          <w:szCs w:val="21"/>
          <w:highlight w:val="none"/>
        </w:rPr>
        <w:t>日内，按照采购文件和中标人的投标文件订立书面合同。采购人和中标人不得再行订立背离合同实质性内容的其他协议。</w:t>
      </w:r>
    </w:p>
    <w:p w14:paraId="1F8B654A">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25.2  采购人如不按第24条的规定与中标人订立合同，或者采购人、中标人订立背离合同实质性内容的协议，采购人应当按投标保证金的数额对投标供应商进行赔偿，给投标供应商造成的损失超过投标保证金数额的，还应当对超过部分予以赔偿，同时依法承担相应法律责任。</w:t>
      </w:r>
    </w:p>
    <w:p w14:paraId="41B9887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25.3  中标人如不按第24条的规定与采购人订立合同，则采购人将废除授标，投标担保金不予退还，给采购人造成的损失超过投标担保数额的，还应当对超过部分予以赔偿，同时依法承担相应法律责任。</w:t>
      </w:r>
    </w:p>
    <w:p w14:paraId="05B55377">
      <w:pPr>
        <w:spacing w:line="440" w:lineRule="exact"/>
        <w:ind w:firstLine="420" w:firstLineChars="200"/>
        <w:jc w:val="left"/>
        <w:rPr>
          <w:rFonts w:ascii="宋体" w:hAnsi="宋体" w:cs="宋体"/>
          <w:b/>
          <w:color w:val="auto"/>
          <w:sz w:val="32"/>
          <w:szCs w:val="32"/>
          <w:highlight w:val="none"/>
        </w:rPr>
      </w:pPr>
      <w:r>
        <w:rPr>
          <w:rFonts w:hint="eastAsia" w:ascii="宋体" w:hAnsi="宋体" w:cs="宋体"/>
          <w:color w:val="auto"/>
          <w:szCs w:val="21"/>
          <w:highlight w:val="none"/>
        </w:rPr>
        <w:t>25.4  中标人应当按照合同约定履行义务，完成中标项目，不得将中标项目转让（转包）给他人。</w:t>
      </w:r>
    </w:p>
    <w:p w14:paraId="184FB6FA">
      <w:pPr>
        <w:spacing w:line="440" w:lineRule="exact"/>
        <w:ind w:firstLine="413" w:firstLineChars="196"/>
        <w:outlineLvl w:val="2"/>
        <w:rPr>
          <w:rFonts w:ascii="宋体" w:hAnsi="宋体" w:cs="宋体"/>
          <w:color w:val="auto"/>
          <w:szCs w:val="21"/>
          <w:highlight w:val="none"/>
        </w:rPr>
      </w:pPr>
      <w:bookmarkStart w:id="91" w:name="_Toc30355"/>
      <w:bookmarkStart w:id="92" w:name="_Toc13054"/>
      <w:r>
        <w:rPr>
          <w:rFonts w:hint="eastAsia" w:ascii="宋体" w:hAnsi="宋体" w:cs="宋体"/>
          <w:b/>
          <w:color w:val="auto"/>
          <w:szCs w:val="21"/>
          <w:highlight w:val="none"/>
        </w:rPr>
        <w:t>26.验收</w:t>
      </w:r>
      <w:bookmarkEnd w:id="91"/>
      <w:bookmarkEnd w:id="92"/>
    </w:p>
    <w:p w14:paraId="452B57E2">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26.1采购人验收时，应成立三人以上验收小组，明确责任，严格依照采购文件、中标通知书、采购合同及相关验收规范进行核对、验收，形成验收结论，并出具书面验收报告。</w:t>
      </w:r>
    </w:p>
    <w:p w14:paraId="2AD74262">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26.2涉及安全、消防、环保等其他需要由质检或行业主管部门进行验收的项目，必须邀请相关部门或相关专家参与验收。</w:t>
      </w:r>
    </w:p>
    <w:p w14:paraId="1F1A75CE">
      <w:pPr>
        <w:spacing w:line="440" w:lineRule="exact"/>
        <w:ind w:firstLine="413" w:firstLineChars="196"/>
        <w:outlineLvl w:val="2"/>
        <w:rPr>
          <w:rFonts w:ascii="宋体" w:hAnsi="宋体" w:cs="宋体"/>
          <w:b/>
          <w:color w:val="auto"/>
          <w:szCs w:val="21"/>
          <w:highlight w:val="none"/>
        </w:rPr>
      </w:pPr>
      <w:bookmarkStart w:id="93" w:name="_Toc13934"/>
      <w:bookmarkStart w:id="94" w:name="_Toc27135"/>
      <w:r>
        <w:rPr>
          <w:rFonts w:hint="eastAsia" w:ascii="宋体" w:hAnsi="宋体" w:cs="宋体"/>
          <w:b/>
          <w:color w:val="auto"/>
          <w:szCs w:val="21"/>
          <w:highlight w:val="none"/>
        </w:rPr>
        <w:t>27.质疑</w:t>
      </w:r>
      <w:bookmarkEnd w:id="93"/>
      <w:bookmarkEnd w:id="94"/>
    </w:p>
    <w:p w14:paraId="55262F42">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27.1质疑人认为预成交结果使自己的权益受到损害的，可以向采购代理机构提出质疑。质疑实行实名制，应当有具体的事项及根据，不得进行虚假、恶意质疑，扰乱采购的正常工作秩序。</w:t>
      </w:r>
    </w:p>
    <w:p w14:paraId="34EFE57F">
      <w:pPr>
        <w:spacing w:line="44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投标供应商对采购文件内容有疑问的，须在采购文件规定的质疑截止时间前，向采购人提出询问或者质疑，未在规定质疑截止时间内提出异议的，该质疑不予受理，并视同投标供应商认可采购文件所有内容。</w:t>
      </w:r>
    </w:p>
    <w:p w14:paraId="72440FE7">
      <w:pPr>
        <w:spacing w:line="440" w:lineRule="exact"/>
        <w:ind w:firstLine="420" w:firstLineChars="200"/>
        <w:outlineLvl w:val="3"/>
        <w:rPr>
          <w:rFonts w:ascii="宋体" w:hAnsi="宋体" w:cs="宋体"/>
          <w:bCs/>
          <w:color w:val="auto"/>
          <w:szCs w:val="21"/>
          <w:highlight w:val="none"/>
        </w:rPr>
      </w:pPr>
      <w:bookmarkStart w:id="95" w:name="_Toc7613"/>
      <w:bookmarkStart w:id="96" w:name="_Toc21699"/>
      <w:r>
        <w:rPr>
          <w:rFonts w:hint="eastAsia" w:ascii="宋体" w:hAnsi="宋体" w:cs="宋体"/>
          <w:bCs/>
          <w:color w:val="auto"/>
          <w:szCs w:val="21"/>
          <w:highlight w:val="none"/>
        </w:rPr>
        <w:t>27.2质疑应在规定时限内提出：</w:t>
      </w:r>
      <w:bookmarkEnd w:id="95"/>
      <w:bookmarkEnd w:id="96"/>
      <w:r>
        <w:rPr>
          <w:rFonts w:hint="eastAsia" w:ascii="宋体" w:hAnsi="宋体" w:cs="宋体"/>
          <w:bCs/>
          <w:color w:val="auto"/>
          <w:szCs w:val="21"/>
          <w:highlight w:val="none"/>
        </w:rPr>
        <w:t xml:space="preserve"> </w:t>
      </w:r>
    </w:p>
    <w:p w14:paraId="3822F7CC">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对采购成交结果的质疑，应在成交结果公布之日起七个工作日内提出。</w:t>
      </w:r>
    </w:p>
    <w:p w14:paraId="30890FB9">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27.3质疑应以书面形式实名提出，书面质疑材料应当包括以下内容：</w:t>
      </w:r>
    </w:p>
    <w:p w14:paraId="152CF20B">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27.3.1质疑人的名称、地址、有效联系方式；</w:t>
      </w:r>
    </w:p>
    <w:p w14:paraId="784E4E8F">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27.3.2项目名称、项目编号、包别号（如有）；</w:t>
      </w:r>
    </w:p>
    <w:p w14:paraId="6F28B77C">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27.3.3被质疑人名称；</w:t>
      </w:r>
    </w:p>
    <w:p w14:paraId="081413D9">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27.3.4具体的质疑事项、基本事实及必要的证明材料；</w:t>
      </w:r>
    </w:p>
    <w:p w14:paraId="054A32CB">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27.3.5明确的请求及主张；</w:t>
      </w:r>
    </w:p>
    <w:p w14:paraId="0A8B49C0">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27.3.6提起质疑的日期。</w:t>
      </w:r>
    </w:p>
    <w:p w14:paraId="1C99007A">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质疑人为法人或者其他组织的，应当由</w:t>
      </w:r>
      <w:r>
        <w:rPr>
          <w:rFonts w:hint="eastAsia" w:ascii="宋体" w:hAnsi="宋体" w:cs="宋体"/>
          <w:color w:val="auto"/>
          <w:szCs w:val="21"/>
          <w:highlight w:val="none"/>
        </w:rPr>
        <w:t>法定代表人</w:t>
      </w:r>
      <w:r>
        <w:rPr>
          <w:rFonts w:hint="eastAsia" w:ascii="宋体" w:hAnsi="宋体" w:cs="宋体"/>
          <w:color w:val="auto"/>
          <w:kern w:val="0"/>
          <w:szCs w:val="21"/>
          <w:highlight w:val="none"/>
        </w:rPr>
        <w:t>或其委托代理人（需有委托授权书）签字并加盖公章。</w:t>
      </w:r>
    </w:p>
    <w:p w14:paraId="34B404DD">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质疑人需要修改、补充质疑材料的，应当在质疑期内提交修改或补充材料。</w:t>
      </w:r>
    </w:p>
    <w:p w14:paraId="792B6321">
      <w:pPr>
        <w:spacing w:line="440" w:lineRule="exact"/>
        <w:ind w:firstLine="420" w:firstLineChars="200"/>
        <w:outlineLvl w:val="3"/>
        <w:rPr>
          <w:rFonts w:ascii="宋体" w:hAnsi="宋体" w:cs="宋体"/>
          <w:bCs/>
          <w:color w:val="auto"/>
          <w:szCs w:val="21"/>
          <w:highlight w:val="none"/>
        </w:rPr>
      </w:pPr>
      <w:bookmarkStart w:id="97" w:name="_Toc19439"/>
      <w:bookmarkStart w:id="98" w:name="_Toc11332"/>
      <w:r>
        <w:rPr>
          <w:rFonts w:hint="eastAsia" w:ascii="宋体" w:hAnsi="宋体" w:cs="宋体"/>
          <w:bCs/>
          <w:color w:val="auto"/>
          <w:szCs w:val="21"/>
          <w:highlight w:val="none"/>
        </w:rPr>
        <w:t>27.4有下列情形之一的，不予受理：</w:t>
      </w:r>
      <w:bookmarkEnd w:id="97"/>
      <w:bookmarkEnd w:id="98"/>
    </w:p>
    <w:p w14:paraId="1086E8D2">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bCs/>
          <w:color w:val="auto"/>
          <w:szCs w:val="21"/>
          <w:highlight w:val="none"/>
        </w:rPr>
        <w:t>27</w:t>
      </w:r>
      <w:r>
        <w:rPr>
          <w:rFonts w:hint="eastAsia" w:ascii="宋体" w:hAnsi="宋体" w:cs="宋体"/>
          <w:color w:val="auto"/>
          <w:kern w:val="0"/>
          <w:szCs w:val="21"/>
          <w:highlight w:val="none"/>
        </w:rPr>
        <w:t>.4.1提起质疑的主体不是参与该采购项目活动的供应商；</w:t>
      </w:r>
    </w:p>
    <w:p w14:paraId="229E6F45">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bCs/>
          <w:color w:val="auto"/>
          <w:szCs w:val="21"/>
          <w:highlight w:val="none"/>
        </w:rPr>
        <w:t>27</w:t>
      </w:r>
      <w:r>
        <w:rPr>
          <w:rFonts w:hint="eastAsia" w:ascii="宋体" w:hAnsi="宋体" w:cs="宋体"/>
          <w:color w:val="auto"/>
          <w:kern w:val="0"/>
          <w:szCs w:val="21"/>
          <w:highlight w:val="none"/>
        </w:rPr>
        <w:t>.4.2提起质疑的时间超过规定时限的；</w:t>
      </w:r>
    </w:p>
    <w:p w14:paraId="331F7FA3">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bCs/>
          <w:color w:val="auto"/>
          <w:szCs w:val="21"/>
          <w:highlight w:val="none"/>
        </w:rPr>
        <w:t>27</w:t>
      </w:r>
      <w:r>
        <w:rPr>
          <w:rFonts w:hint="eastAsia" w:ascii="宋体" w:hAnsi="宋体" w:cs="宋体"/>
          <w:color w:val="auto"/>
          <w:kern w:val="0"/>
          <w:szCs w:val="21"/>
          <w:highlight w:val="none"/>
        </w:rPr>
        <w:t>.4.3质疑材料不完整的；</w:t>
      </w:r>
    </w:p>
    <w:p w14:paraId="5A705453">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bCs/>
          <w:color w:val="auto"/>
          <w:szCs w:val="21"/>
          <w:highlight w:val="none"/>
        </w:rPr>
        <w:t>27</w:t>
      </w:r>
      <w:r>
        <w:rPr>
          <w:rFonts w:hint="eastAsia" w:ascii="宋体" w:hAnsi="宋体" w:cs="宋体"/>
          <w:color w:val="auto"/>
          <w:kern w:val="0"/>
          <w:szCs w:val="21"/>
          <w:highlight w:val="none"/>
        </w:rPr>
        <w:t>.4.4质疑事项含有主观猜测等内容且未提供有效线索、难以查证的；</w:t>
      </w:r>
    </w:p>
    <w:p w14:paraId="225FD244">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bCs/>
          <w:color w:val="auto"/>
          <w:szCs w:val="21"/>
          <w:highlight w:val="none"/>
        </w:rPr>
        <w:t>27</w:t>
      </w:r>
      <w:r>
        <w:rPr>
          <w:rFonts w:hint="eastAsia" w:ascii="宋体" w:hAnsi="宋体" w:cs="宋体"/>
          <w:color w:val="auto"/>
          <w:kern w:val="0"/>
          <w:szCs w:val="21"/>
          <w:highlight w:val="none"/>
        </w:rPr>
        <w:t>.4.5对其他供应商的响应文件详细内容质疑，证据来源无法提供合法来源渠道的；</w:t>
      </w:r>
    </w:p>
    <w:p w14:paraId="51123393">
      <w:pPr>
        <w:widowControl/>
        <w:spacing w:line="440" w:lineRule="exact"/>
        <w:ind w:firstLine="420" w:firstLineChars="200"/>
        <w:jc w:val="left"/>
        <w:rPr>
          <w:rFonts w:ascii="宋体" w:hAnsi="宋体" w:cs="宋体"/>
          <w:color w:val="auto"/>
          <w:kern w:val="0"/>
          <w:szCs w:val="21"/>
          <w:highlight w:val="none"/>
        </w:rPr>
      </w:pPr>
      <w:r>
        <w:rPr>
          <w:rFonts w:hint="eastAsia" w:ascii="宋体" w:hAnsi="宋体" w:cs="宋体"/>
          <w:bCs/>
          <w:color w:val="auto"/>
          <w:szCs w:val="21"/>
          <w:highlight w:val="none"/>
        </w:rPr>
        <w:t>27</w:t>
      </w:r>
      <w:r>
        <w:rPr>
          <w:rFonts w:hint="eastAsia" w:ascii="宋体" w:hAnsi="宋体" w:cs="宋体"/>
          <w:color w:val="auto"/>
          <w:kern w:val="0"/>
          <w:szCs w:val="21"/>
          <w:highlight w:val="none"/>
        </w:rPr>
        <w:t>.4.6质疑事项已进入投诉处理、行政复议或行政诉讼程序的。</w:t>
      </w:r>
    </w:p>
    <w:p w14:paraId="42516312">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27.5经审查符合质疑条件的，自收到质疑之日起即为受理。采购代理机构将在质疑受理后7个工作日内作出答复或相关处理决定（需要检验、检测、鉴定、专家评审的，所需时间不计算在内），并以书面形式通知质疑人，答复的内容不得涉及商业秘密。</w:t>
      </w:r>
    </w:p>
    <w:p w14:paraId="47528D1E">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27.6质疑人在答复期满前撤回质疑的，应由</w:t>
      </w:r>
      <w:r>
        <w:rPr>
          <w:rFonts w:hint="eastAsia" w:ascii="宋体" w:hAnsi="宋体" w:cs="宋体"/>
          <w:color w:val="auto"/>
          <w:szCs w:val="21"/>
          <w:highlight w:val="none"/>
        </w:rPr>
        <w:t>法定代表人</w:t>
      </w:r>
      <w:r>
        <w:rPr>
          <w:rFonts w:hint="eastAsia" w:ascii="宋体" w:hAnsi="宋体" w:cs="宋体"/>
          <w:bCs/>
          <w:color w:val="auto"/>
          <w:szCs w:val="21"/>
          <w:highlight w:val="none"/>
        </w:rPr>
        <w:t>或授权代表人签字确认，采购代理机构即终止质疑处理程序。质疑人不得以同一理由再次质疑。</w:t>
      </w:r>
    </w:p>
    <w:p w14:paraId="44FCA119">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质疑人对质疑答复不满意或某采购代理机构未在规定时间内作出答复的，可以在规定期限内向监督管理部门提起投诉。</w:t>
      </w:r>
    </w:p>
    <w:p w14:paraId="2ABD16D2">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质疑人应在答复期满后十五个工作日内提起投诉。</w:t>
      </w:r>
    </w:p>
    <w:p w14:paraId="33214EDB">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27.7质疑人有下列情形之一的，属于虚假、恶意质疑，采购代理机构将报监督管理部门予以处理。</w:t>
      </w:r>
    </w:p>
    <w:p w14:paraId="1FDAF5DC">
      <w:pPr>
        <w:spacing w:line="440" w:lineRule="exact"/>
        <w:ind w:firstLine="420" w:firstLineChars="200"/>
        <w:outlineLvl w:val="4"/>
        <w:rPr>
          <w:rFonts w:ascii="宋体" w:hAnsi="宋体" w:cs="宋体"/>
          <w:bCs/>
          <w:color w:val="auto"/>
          <w:szCs w:val="21"/>
          <w:highlight w:val="none"/>
        </w:rPr>
      </w:pPr>
      <w:r>
        <w:rPr>
          <w:rFonts w:hint="eastAsia" w:ascii="宋体" w:hAnsi="宋体" w:cs="宋体"/>
          <w:bCs/>
          <w:color w:val="auto"/>
          <w:szCs w:val="21"/>
          <w:highlight w:val="none"/>
        </w:rPr>
        <w:t>27.7.1一年内三次以上质疑均查无实据的；</w:t>
      </w:r>
    </w:p>
    <w:p w14:paraId="2E16CBA5">
      <w:pPr>
        <w:spacing w:line="440" w:lineRule="exact"/>
        <w:ind w:firstLine="411" w:firstLineChars="196"/>
        <w:rPr>
          <w:rFonts w:ascii="宋体" w:hAnsi="宋体" w:cs="宋体"/>
          <w:color w:val="auto"/>
          <w:szCs w:val="21"/>
          <w:highlight w:val="none"/>
        </w:rPr>
      </w:pPr>
      <w:r>
        <w:rPr>
          <w:rFonts w:hint="eastAsia" w:ascii="宋体" w:hAnsi="宋体" w:cs="宋体"/>
          <w:bCs/>
          <w:color w:val="auto"/>
          <w:szCs w:val="21"/>
          <w:highlight w:val="none"/>
        </w:rPr>
        <w:t>27.7.2捏造事实恶意诬陷他人、有意提供虚假质疑材料的</w:t>
      </w:r>
      <w:r>
        <w:rPr>
          <w:rFonts w:hint="eastAsia" w:ascii="宋体" w:hAnsi="宋体" w:cs="宋体"/>
          <w:color w:val="auto"/>
          <w:szCs w:val="21"/>
          <w:highlight w:val="none"/>
        </w:rPr>
        <w:t>或者通过非法手段获取材料的。</w:t>
      </w:r>
    </w:p>
    <w:p w14:paraId="3B8F40CC">
      <w:pPr>
        <w:spacing w:line="440" w:lineRule="exact"/>
        <w:ind w:firstLine="413" w:firstLineChars="196"/>
        <w:outlineLvl w:val="2"/>
        <w:rPr>
          <w:rFonts w:ascii="宋体" w:hAnsi="宋体" w:cs="宋体"/>
          <w:b/>
          <w:color w:val="auto"/>
          <w:szCs w:val="21"/>
          <w:highlight w:val="none"/>
        </w:rPr>
      </w:pPr>
      <w:bookmarkStart w:id="99" w:name="_Toc27057"/>
      <w:bookmarkStart w:id="100" w:name="_Toc10755"/>
      <w:r>
        <w:rPr>
          <w:rFonts w:hint="eastAsia" w:ascii="宋体" w:hAnsi="宋体" w:cs="宋体"/>
          <w:b/>
          <w:color w:val="auto"/>
          <w:szCs w:val="21"/>
          <w:highlight w:val="none"/>
        </w:rPr>
        <w:t>28.未尽事宜</w:t>
      </w:r>
      <w:bookmarkEnd w:id="99"/>
      <w:bookmarkEnd w:id="100"/>
    </w:p>
    <w:p w14:paraId="01B5B35F">
      <w:pPr>
        <w:spacing w:line="440" w:lineRule="exact"/>
        <w:ind w:firstLine="420" w:firstLineChars="200"/>
        <w:outlineLvl w:val="3"/>
        <w:rPr>
          <w:rFonts w:ascii="宋体" w:hAnsi="宋体" w:cs="宋体"/>
          <w:color w:val="auto"/>
          <w:szCs w:val="21"/>
          <w:highlight w:val="none"/>
        </w:rPr>
      </w:pPr>
      <w:bookmarkStart w:id="101" w:name="_Toc4940"/>
      <w:bookmarkStart w:id="102" w:name="_Toc18168"/>
      <w:r>
        <w:rPr>
          <w:rFonts w:hint="eastAsia" w:ascii="宋体" w:hAnsi="宋体" w:cs="宋体"/>
          <w:color w:val="auto"/>
          <w:szCs w:val="21"/>
          <w:highlight w:val="none"/>
        </w:rPr>
        <w:t>28.1参照相关法律法规的规定执行。</w:t>
      </w:r>
      <w:bookmarkEnd w:id="101"/>
      <w:bookmarkEnd w:id="102"/>
    </w:p>
    <w:p w14:paraId="32AEEE26">
      <w:pPr>
        <w:spacing w:line="440" w:lineRule="exact"/>
        <w:ind w:firstLine="413" w:firstLineChars="196"/>
        <w:outlineLvl w:val="2"/>
        <w:rPr>
          <w:rFonts w:ascii="宋体" w:hAnsi="宋体" w:cs="宋体"/>
          <w:bCs/>
          <w:color w:val="auto"/>
          <w:szCs w:val="21"/>
          <w:highlight w:val="none"/>
        </w:rPr>
      </w:pPr>
      <w:bookmarkStart w:id="103" w:name="_Toc10184"/>
      <w:bookmarkStart w:id="104" w:name="_Toc14073"/>
      <w:r>
        <w:rPr>
          <w:rFonts w:hint="eastAsia" w:ascii="宋体" w:hAnsi="宋体" w:cs="宋体"/>
          <w:b/>
          <w:color w:val="auto"/>
          <w:szCs w:val="21"/>
          <w:highlight w:val="none"/>
        </w:rPr>
        <w:t>29.解释权</w:t>
      </w:r>
      <w:bookmarkEnd w:id="103"/>
      <w:bookmarkEnd w:id="104"/>
    </w:p>
    <w:p w14:paraId="7687951E">
      <w:pPr>
        <w:spacing w:line="440" w:lineRule="exact"/>
        <w:ind w:firstLine="420" w:firstLineChars="200"/>
        <w:outlineLvl w:val="3"/>
        <w:rPr>
          <w:rFonts w:ascii="宋体" w:hAnsi="宋体" w:cs="宋体"/>
          <w:b/>
          <w:color w:val="auto"/>
          <w:sz w:val="28"/>
          <w:highlight w:val="none"/>
        </w:rPr>
        <w:sectPr>
          <w:footerReference r:id="rId6" w:type="first"/>
          <w:footerReference r:id="rId5" w:type="default"/>
          <w:pgSz w:w="11906" w:h="16838"/>
          <w:pgMar w:top="1134" w:right="1417" w:bottom="1134" w:left="1417" w:header="850" w:footer="992" w:gutter="0"/>
          <w:pgNumType w:fmt="decimal"/>
          <w:cols w:space="720" w:num="1"/>
          <w:docGrid w:type="lines" w:linePitch="312" w:charSpace="0"/>
        </w:sectPr>
      </w:pPr>
      <w:bookmarkStart w:id="105" w:name="_Toc3336"/>
      <w:bookmarkStart w:id="106" w:name="_Toc20892"/>
      <w:r>
        <w:rPr>
          <w:rFonts w:hint="eastAsia" w:ascii="宋体" w:hAnsi="宋体" w:cs="宋体"/>
          <w:bCs/>
          <w:color w:val="auto"/>
          <w:szCs w:val="21"/>
          <w:highlight w:val="none"/>
        </w:rPr>
        <w:t>29.1本采购文件的解释权属于采购人或采购代理机构</w:t>
      </w:r>
      <w:bookmarkEnd w:id="105"/>
      <w:bookmarkEnd w:id="106"/>
    </w:p>
    <w:p w14:paraId="30DB8A6D">
      <w:pPr>
        <w:pageBreakBefore/>
        <w:spacing w:before="162" w:beforeLines="50" w:after="162" w:afterLines="50" w:line="440" w:lineRule="exact"/>
        <w:jc w:val="center"/>
        <w:outlineLvl w:val="1"/>
        <w:rPr>
          <w:rFonts w:ascii="黑体" w:hAnsi="黑体" w:eastAsia="黑体" w:cs="黑体"/>
          <w:b/>
          <w:bCs/>
          <w:color w:val="auto"/>
          <w:sz w:val="32"/>
          <w:szCs w:val="32"/>
          <w:highlight w:val="none"/>
        </w:rPr>
      </w:pPr>
      <w:bookmarkStart w:id="107" w:name="_Toc16257"/>
      <w:bookmarkStart w:id="108" w:name="_Toc759"/>
      <w:bookmarkStart w:id="109" w:name="_Toc16681"/>
      <w:bookmarkStart w:id="110" w:name="_Toc469495731"/>
      <w:r>
        <w:rPr>
          <w:rFonts w:hint="eastAsia" w:ascii="黑体" w:hAnsi="黑体" w:eastAsia="黑体" w:cs="黑体"/>
          <w:b/>
          <w:bCs/>
          <w:color w:val="auto"/>
          <w:sz w:val="32"/>
          <w:szCs w:val="32"/>
          <w:highlight w:val="none"/>
        </w:rPr>
        <w:t>第二章  评标办法</w:t>
      </w:r>
      <w:bookmarkEnd w:id="107"/>
      <w:bookmarkEnd w:id="108"/>
      <w:bookmarkEnd w:id="109"/>
      <w:bookmarkEnd w:id="110"/>
    </w:p>
    <w:p w14:paraId="715A370F">
      <w:pPr>
        <w:spacing w:before="162" w:beforeLines="50" w:after="162" w:afterLines="50" w:line="440" w:lineRule="exact"/>
        <w:jc w:val="center"/>
        <w:outlineLvl w:val="2"/>
        <w:rPr>
          <w:rFonts w:ascii="黑体" w:hAnsi="黑体" w:eastAsia="黑体" w:cs="黑体"/>
          <w:b/>
          <w:color w:val="auto"/>
          <w:sz w:val="28"/>
          <w:szCs w:val="28"/>
          <w:highlight w:val="none"/>
        </w:rPr>
      </w:pPr>
      <w:bookmarkStart w:id="111" w:name="_Toc469495732"/>
      <w:bookmarkStart w:id="112" w:name="_Toc19225"/>
      <w:bookmarkStart w:id="113" w:name="_Toc4193"/>
      <w:bookmarkStart w:id="114" w:name="_Toc16128"/>
      <w:bookmarkStart w:id="115" w:name="_Toc362983801"/>
      <w:bookmarkStart w:id="116" w:name="_Toc267320058"/>
      <w:r>
        <w:rPr>
          <w:rFonts w:hint="eastAsia" w:ascii="黑体" w:hAnsi="黑体" w:eastAsia="黑体" w:cs="黑体"/>
          <w:b/>
          <w:color w:val="auto"/>
          <w:sz w:val="28"/>
          <w:szCs w:val="28"/>
          <w:highlight w:val="none"/>
        </w:rPr>
        <w:t>一  总则</w:t>
      </w:r>
      <w:bookmarkEnd w:id="111"/>
      <w:bookmarkEnd w:id="112"/>
      <w:bookmarkEnd w:id="113"/>
      <w:bookmarkEnd w:id="114"/>
      <w:bookmarkEnd w:id="115"/>
    </w:p>
    <w:p w14:paraId="2CFF34E2">
      <w:pPr>
        <w:spacing w:line="440" w:lineRule="exact"/>
        <w:ind w:firstLine="422" w:firstLineChars="200"/>
        <w:jc w:val="left"/>
        <w:outlineLvl w:val="2"/>
        <w:rPr>
          <w:rFonts w:ascii="黑体" w:hAnsi="黑体" w:eastAsia="黑体" w:cs="黑体"/>
          <w:b/>
          <w:color w:val="auto"/>
          <w:szCs w:val="21"/>
          <w:highlight w:val="none"/>
        </w:rPr>
      </w:pPr>
      <w:bookmarkStart w:id="117" w:name="_Toc12964"/>
      <w:bookmarkStart w:id="118" w:name="_Toc362983802"/>
      <w:bookmarkStart w:id="119" w:name="_Toc469495733"/>
      <w:r>
        <w:rPr>
          <w:rFonts w:hint="eastAsia" w:ascii="黑体" w:hAnsi="黑体" w:eastAsia="黑体" w:cs="黑体"/>
          <w:b/>
          <w:color w:val="auto"/>
          <w:szCs w:val="21"/>
          <w:highlight w:val="none"/>
        </w:rPr>
        <w:t>1. 本次评标采用综合评分法</w:t>
      </w:r>
      <w:bookmarkEnd w:id="117"/>
    </w:p>
    <w:p w14:paraId="559C947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1.1综合评分法是指投标文件满足采购文件全部实质性要求且按照评审因素的量化指标评审总得分从高到低的供应商为中标候选人的评标方法。</w:t>
      </w:r>
    </w:p>
    <w:p w14:paraId="72F7CB27">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1.2综合评分法一般适用于较为复杂、评价指标难以量化且价格为非主要因素的非标准定制商品和非通用服务项目的项目评审。</w:t>
      </w:r>
    </w:p>
    <w:p w14:paraId="27398D08">
      <w:pPr>
        <w:spacing w:line="440" w:lineRule="exact"/>
        <w:ind w:firstLine="422" w:firstLineChars="200"/>
        <w:jc w:val="left"/>
        <w:outlineLvl w:val="2"/>
        <w:rPr>
          <w:rFonts w:ascii="黑体" w:hAnsi="黑体" w:eastAsia="黑体" w:cs="黑体"/>
          <w:b/>
          <w:color w:val="auto"/>
          <w:szCs w:val="21"/>
          <w:highlight w:val="none"/>
        </w:rPr>
      </w:pPr>
      <w:bookmarkStart w:id="120" w:name="_Toc23084"/>
      <w:r>
        <w:rPr>
          <w:rFonts w:hint="eastAsia" w:ascii="黑体" w:hAnsi="黑体" w:eastAsia="黑体" w:cs="黑体"/>
          <w:b/>
          <w:color w:val="auto"/>
          <w:szCs w:val="21"/>
          <w:highlight w:val="none"/>
        </w:rPr>
        <w:t>2．评标程序</w:t>
      </w:r>
      <w:bookmarkEnd w:id="120"/>
    </w:p>
    <w:p w14:paraId="65E43B1A">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2.1投标文件的初审</w:t>
      </w:r>
    </w:p>
    <w:p w14:paraId="7FBC546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2.1.1资格性检查。依据法律法规和采购文件的规定，对投标文件中的资格证明、投标保证金等进行审查，以确定投标供应商是否具备投标资格。 </w:t>
      </w:r>
    </w:p>
    <w:p w14:paraId="76FF965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2.1.2符合性检查。依据采购文件的规定，从投标文件的有效性、完整性和对采购文件的响应程度进行审查，以确定投标供应商是否对采购文件的实质性要求作出响应。</w:t>
      </w:r>
    </w:p>
    <w:p w14:paraId="4638539D">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2.2投标文件的澄清</w:t>
      </w:r>
    </w:p>
    <w:p w14:paraId="79EC822D">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2.2.1在评标过程中，评标委员会认为需要，可要求投标供应商对投标文件中的有关问题进行澄清或提供补充说明及有关资料，投标供应商应作出答复。答复中不得变更价格、供货期、自报质量等实质性内容。</w:t>
      </w:r>
    </w:p>
    <w:p w14:paraId="014AF7E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2.2.2经投标供应商在系统中做出的有效答复将视为投标文件的组成部分。投标截止时间后，投标供应商对投标报价或其他实质性内容修正的函件和增加的任何优惠条件，一律不得作为评标、定标的依据。</w:t>
      </w:r>
    </w:p>
    <w:p w14:paraId="34142C36">
      <w:pPr>
        <w:spacing w:line="440" w:lineRule="exact"/>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2.2.3采购人不接受投标供应商主动提出的澄清。</w:t>
      </w:r>
    </w:p>
    <w:p w14:paraId="04F0D350">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2.3比较与评价</w:t>
      </w:r>
    </w:p>
    <w:p w14:paraId="25E74BD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2.3.1按采购文件中规定的评标方法和标准，对资格性检查和符合性检查合格的投标文件进行资信、商务和技术评估，综合比较与评价。 </w:t>
      </w:r>
    </w:p>
    <w:p w14:paraId="35543F0C">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2.4推荐中标候选人名单</w:t>
      </w:r>
    </w:p>
    <w:p w14:paraId="7C036E55">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2.4.1中标候选人数量应当根据采购需要确定，但必须按顺序排列中标候选人。</w:t>
      </w:r>
    </w:p>
    <w:p w14:paraId="2AACB99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2.5在投标文件的审查、澄清、评价和比较以及授予合同过程中，投标供应商对采购单位和评标委员会成员施加影响的任何行为，都将导致取消其中标资格。</w:t>
      </w:r>
    </w:p>
    <w:p w14:paraId="3F57A327">
      <w:pPr>
        <w:keepNext/>
        <w:keepLines w:val="0"/>
        <w:pageBreakBefore w:val="0"/>
        <w:widowControl w:val="0"/>
        <w:kinsoku/>
        <w:wordWrap/>
        <w:overflowPunct/>
        <w:topLinePunct w:val="0"/>
        <w:autoSpaceDE/>
        <w:autoSpaceDN/>
        <w:bidi w:val="0"/>
        <w:adjustRightInd/>
        <w:snapToGrid/>
        <w:spacing w:before="162" w:beforeLines="50" w:after="162" w:afterLines="50" w:line="440" w:lineRule="exact"/>
        <w:jc w:val="center"/>
        <w:outlineLvl w:val="2"/>
        <w:rPr>
          <w:rFonts w:ascii="黑体" w:hAnsi="黑体" w:eastAsia="黑体" w:cs="黑体"/>
          <w:b/>
          <w:color w:val="auto"/>
          <w:sz w:val="28"/>
          <w:szCs w:val="28"/>
          <w:highlight w:val="none"/>
        </w:rPr>
      </w:pPr>
      <w:bookmarkStart w:id="121" w:name="_Toc15979"/>
      <w:bookmarkStart w:id="122" w:name="_Toc22076"/>
      <w:bookmarkStart w:id="123" w:name="_Toc23006"/>
      <w:r>
        <w:rPr>
          <w:rFonts w:hint="eastAsia" w:ascii="黑体" w:hAnsi="黑体" w:eastAsia="黑体" w:cs="黑体"/>
          <w:b/>
          <w:color w:val="auto"/>
          <w:sz w:val="28"/>
          <w:szCs w:val="28"/>
          <w:highlight w:val="none"/>
        </w:rPr>
        <w:t>二  投标文件初审</w:t>
      </w:r>
      <w:bookmarkEnd w:id="118"/>
      <w:bookmarkEnd w:id="119"/>
      <w:bookmarkEnd w:id="121"/>
      <w:bookmarkEnd w:id="122"/>
      <w:bookmarkEnd w:id="123"/>
    </w:p>
    <w:p w14:paraId="201AE0D8">
      <w:pPr>
        <w:keepNext/>
        <w:keepLines w:val="0"/>
        <w:pageBreakBefore w:val="0"/>
        <w:widowControl w:val="0"/>
        <w:kinsoku/>
        <w:wordWrap/>
        <w:overflowPunct/>
        <w:topLinePunct w:val="0"/>
        <w:autoSpaceDE/>
        <w:autoSpaceDN/>
        <w:bidi w:val="0"/>
        <w:adjustRightInd/>
        <w:snapToGrid/>
        <w:spacing w:line="440" w:lineRule="exact"/>
        <w:ind w:firstLine="422" w:firstLineChars="200"/>
        <w:jc w:val="left"/>
        <w:outlineLvl w:val="2"/>
        <w:rPr>
          <w:rFonts w:ascii="黑体" w:hAnsi="黑体" w:eastAsia="黑体" w:cs="黑体"/>
          <w:b/>
          <w:color w:val="auto"/>
          <w:szCs w:val="21"/>
          <w:highlight w:val="none"/>
        </w:rPr>
      </w:pPr>
      <w:bookmarkStart w:id="124" w:name="_Toc6807"/>
      <w:r>
        <w:rPr>
          <w:rFonts w:hint="eastAsia" w:ascii="黑体" w:hAnsi="黑体" w:eastAsia="黑体" w:cs="黑体"/>
          <w:b/>
          <w:color w:val="auto"/>
          <w:szCs w:val="21"/>
          <w:highlight w:val="none"/>
        </w:rPr>
        <w:t>3.资格性审查：</w:t>
      </w:r>
      <w:bookmarkEnd w:id="124"/>
    </w:p>
    <w:p w14:paraId="4230717F">
      <w:pPr>
        <w:keepNext/>
        <w:keepLines w:val="0"/>
        <w:pageBreakBefore w:val="0"/>
        <w:widowControl w:val="0"/>
        <w:kinsoku/>
        <w:wordWrap/>
        <w:overflowPunct/>
        <w:topLinePunct w:val="0"/>
        <w:autoSpaceDE/>
        <w:autoSpaceDN/>
        <w:bidi w:val="0"/>
        <w:adjustRightInd/>
        <w:snapToGrid/>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3.1评审细则</w:t>
      </w:r>
    </w:p>
    <w:tbl>
      <w:tblPr>
        <w:tblStyle w:val="26"/>
        <w:tblW w:w="9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33"/>
        <w:gridCol w:w="3399"/>
        <w:gridCol w:w="4533"/>
      </w:tblGrid>
      <w:tr w14:paraId="6734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vAlign w:val="center"/>
          </w:tcPr>
          <w:p w14:paraId="577EE35C">
            <w:pPr>
              <w:keepNext/>
              <w:keepLines w:val="0"/>
              <w:pageBreakBefore w:val="0"/>
              <w:widowControl w:val="0"/>
              <w:kinsoku/>
              <w:wordWrap/>
              <w:overflowPunct/>
              <w:topLinePunct w:val="0"/>
              <w:autoSpaceDE/>
              <w:autoSpaceDN/>
              <w:bidi w:val="0"/>
              <w:adjustRightInd/>
              <w:snapToGrid/>
              <w:spacing w:line="440" w:lineRule="exact"/>
              <w:jc w:val="center"/>
              <w:rPr>
                <w:rFonts w:ascii="黑体" w:hAnsi="黑体" w:eastAsia="黑体" w:cs="黑体"/>
                <w:b/>
                <w:bCs/>
                <w:color w:val="auto"/>
                <w:szCs w:val="21"/>
                <w:highlight w:val="none"/>
              </w:rPr>
            </w:pPr>
            <w:r>
              <w:rPr>
                <w:rFonts w:hint="eastAsia" w:ascii="黑体" w:hAnsi="黑体" w:eastAsia="黑体" w:cs="黑体"/>
                <w:b/>
                <w:bCs/>
                <w:color w:val="auto"/>
                <w:szCs w:val="21"/>
                <w:highlight w:val="none"/>
              </w:rPr>
              <w:t>序号</w:t>
            </w:r>
          </w:p>
        </w:tc>
        <w:tc>
          <w:tcPr>
            <w:tcW w:w="4632" w:type="dxa"/>
            <w:gridSpan w:val="2"/>
            <w:vAlign w:val="center"/>
          </w:tcPr>
          <w:p w14:paraId="39E5328A">
            <w:pPr>
              <w:keepNext/>
              <w:keepLines w:val="0"/>
              <w:pageBreakBefore w:val="0"/>
              <w:widowControl w:val="0"/>
              <w:kinsoku/>
              <w:wordWrap/>
              <w:overflowPunct/>
              <w:topLinePunct w:val="0"/>
              <w:autoSpaceDE/>
              <w:autoSpaceDN/>
              <w:bidi w:val="0"/>
              <w:adjustRightInd/>
              <w:snapToGrid/>
              <w:spacing w:line="440" w:lineRule="exact"/>
              <w:jc w:val="center"/>
              <w:rPr>
                <w:rFonts w:ascii="黑体" w:hAnsi="黑体" w:eastAsia="黑体" w:cs="黑体"/>
                <w:b/>
                <w:bCs/>
                <w:color w:val="auto"/>
                <w:szCs w:val="21"/>
                <w:highlight w:val="none"/>
              </w:rPr>
            </w:pPr>
            <w:r>
              <w:rPr>
                <w:rFonts w:hint="eastAsia" w:ascii="黑体" w:hAnsi="黑体" w:eastAsia="黑体" w:cs="黑体"/>
                <w:b/>
                <w:bCs/>
                <w:color w:val="auto"/>
                <w:szCs w:val="21"/>
                <w:highlight w:val="none"/>
              </w:rPr>
              <w:t>评审因素</w:t>
            </w:r>
          </w:p>
        </w:tc>
        <w:tc>
          <w:tcPr>
            <w:tcW w:w="4533" w:type="dxa"/>
            <w:vAlign w:val="center"/>
          </w:tcPr>
          <w:p w14:paraId="28D0A41D">
            <w:pPr>
              <w:keepNext/>
              <w:keepLines w:val="0"/>
              <w:pageBreakBefore w:val="0"/>
              <w:widowControl w:val="0"/>
              <w:kinsoku/>
              <w:wordWrap/>
              <w:overflowPunct/>
              <w:topLinePunct w:val="0"/>
              <w:autoSpaceDE/>
              <w:autoSpaceDN/>
              <w:bidi w:val="0"/>
              <w:adjustRightInd/>
              <w:snapToGrid/>
              <w:spacing w:line="440" w:lineRule="exact"/>
              <w:jc w:val="center"/>
              <w:rPr>
                <w:rFonts w:ascii="黑体" w:hAnsi="黑体" w:eastAsia="黑体" w:cs="黑体"/>
                <w:b/>
                <w:bCs/>
                <w:color w:val="auto"/>
                <w:szCs w:val="21"/>
                <w:highlight w:val="none"/>
              </w:rPr>
            </w:pPr>
            <w:r>
              <w:rPr>
                <w:rFonts w:hint="eastAsia" w:ascii="黑体" w:hAnsi="黑体" w:eastAsia="黑体" w:cs="黑体"/>
                <w:b/>
                <w:bCs/>
                <w:color w:val="auto"/>
                <w:szCs w:val="21"/>
                <w:highlight w:val="none"/>
              </w:rPr>
              <w:t>评审标准</w:t>
            </w:r>
          </w:p>
        </w:tc>
      </w:tr>
      <w:tr w14:paraId="292C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713" w:type="dxa"/>
            <w:vAlign w:val="center"/>
          </w:tcPr>
          <w:p w14:paraId="69F9989A">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233" w:type="dxa"/>
            <w:vAlign w:val="center"/>
          </w:tcPr>
          <w:p w14:paraId="276047F4">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重要要求</w:t>
            </w:r>
          </w:p>
        </w:tc>
        <w:tc>
          <w:tcPr>
            <w:tcW w:w="3399" w:type="dxa"/>
            <w:vAlign w:val="center"/>
          </w:tcPr>
          <w:p w14:paraId="33B526B8">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（1）法定代表人身份证明和本人有效身份证【或法定代表人授权委托书和委托代理人有效身份证】</w:t>
            </w:r>
          </w:p>
        </w:tc>
        <w:tc>
          <w:tcPr>
            <w:tcW w:w="4533" w:type="dxa"/>
            <w:vAlign w:val="center"/>
          </w:tcPr>
          <w:p w14:paraId="479B3AD5">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现场核对原件</w:t>
            </w:r>
          </w:p>
        </w:tc>
      </w:tr>
      <w:tr w14:paraId="30BE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713" w:type="dxa"/>
            <w:vMerge w:val="restart"/>
            <w:vAlign w:val="center"/>
          </w:tcPr>
          <w:p w14:paraId="3926A70F">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233" w:type="dxa"/>
            <w:vMerge w:val="restart"/>
            <w:vAlign w:val="center"/>
          </w:tcPr>
          <w:p w14:paraId="1AE3B96D">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投标供应商应符合的基本资格条件</w:t>
            </w:r>
          </w:p>
        </w:tc>
        <w:tc>
          <w:tcPr>
            <w:tcW w:w="3399" w:type="dxa"/>
            <w:vAlign w:val="center"/>
          </w:tcPr>
          <w:p w14:paraId="2D4D4F4F">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（2）具有承担民事责任的能力</w:t>
            </w:r>
          </w:p>
        </w:tc>
        <w:tc>
          <w:tcPr>
            <w:tcW w:w="4533" w:type="dxa"/>
            <w:vAlign w:val="center"/>
          </w:tcPr>
          <w:p w14:paraId="09E852D5">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投标供应商有效的营业执照 （或三证合一的有效证件）</w:t>
            </w:r>
            <w:r>
              <w:rPr>
                <w:rFonts w:hint="eastAsia" w:ascii="宋体" w:hAnsi="宋体" w:cs="宋体"/>
                <w:b/>
                <w:bCs/>
                <w:color w:val="auto"/>
                <w:szCs w:val="21"/>
                <w:highlight w:val="none"/>
              </w:rPr>
              <w:t xml:space="preserve">复印件加盖公章 </w:t>
            </w:r>
          </w:p>
        </w:tc>
      </w:tr>
      <w:tr w14:paraId="6C03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713" w:type="dxa"/>
            <w:vMerge w:val="continue"/>
            <w:vAlign w:val="center"/>
          </w:tcPr>
          <w:p w14:paraId="5A60DB9C">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1233" w:type="dxa"/>
            <w:vMerge w:val="continue"/>
            <w:vAlign w:val="center"/>
          </w:tcPr>
          <w:p w14:paraId="38BF2014">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p>
        </w:tc>
        <w:tc>
          <w:tcPr>
            <w:tcW w:w="3399" w:type="dxa"/>
            <w:vAlign w:val="center"/>
          </w:tcPr>
          <w:p w14:paraId="173E7D14">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）参加采购活动近三年内，在经营活动中没有重大违法记录</w:t>
            </w:r>
          </w:p>
        </w:tc>
        <w:tc>
          <w:tcPr>
            <w:tcW w:w="4533" w:type="dxa"/>
            <w:vAlign w:val="center"/>
          </w:tcPr>
          <w:p w14:paraId="53512BA0">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参加本项目近三年内无重大违法记录声明（格式自拟）</w:t>
            </w:r>
          </w:p>
        </w:tc>
      </w:tr>
      <w:tr w14:paraId="777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vMerge w:val="continue"/>
            <w:vAlign w:val="center"/>
          </w:tcPr>
          <w:p w14:paraId="5D104BDF">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1233" w:type="dxa"/>
            <w:vMerge w:val="continue"/>
            <w:vAlign w:val="center"/>
          </w:tcPr>
          <w:p w14:paraId="553BA15F">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p>
        </w:tc>
        <w:tc>
          <w:tcPr>
            <w:tcW w:w="3399" w:type="dxa"/>
            <w:vAlign w:val="center"/>
          </w:tcPr>
          <w:p w14:paraId="6BAAA0E9">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）诚信投标承诺书</w:t>
            </w:r>
          </w:p>
        </w:tc>
        <w:tc>
          <w:tcPr>
            <w:tcW w:w="4533" w:type="dxa"/>
            <w:vAlign w:val="center"/>
          </w:tcPr>
          <w:p w14:paraId="0BEBFDF6">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核验投标文件</w:t>
            </w:r>
          </w:p>
        </w:tc>
      </w:tr>
    </w:tbl>
    <w:p w14:paraId="33C600EE">
      <w:pPr>
        <w:keepNext/>
        <w:keepLines w:val="0"/>
        <w:pageBreakBefore w:val="0"/>
        <w:widowControl w:val="0"/>
        <w:kinsoku/>
        <w:wordWrap/>
        <w:overflowPunct/>
        <w:topLinePunct w:val="0"/>
        <w:autoSpaceDE/>
        <w:autoSpaceDN/>
        <w:bidi w:val="0"/>
        <w:adjustRightInd/>
        <w:snapToGrid/>
        <w:spacing w:line="440" w:lineRule="exact"/>
        <w:ind w:firstLine="422" w:firstLineChars="200"/>
        <w:textAlignment w:val="baseline"/>
        <w:rPr>
          <w:rFonts w:ascii="宋体" w:hAnsi="宋体" w:cs="宋体"/>
          <w:b/>
          <w:bCs/>
          <w:color w:val="auto"/>
          <w:kern w:val="0"/>
          <w:szCs w:val="21"/>
          <w:highlight w:val="none"/>
          <w:u w:color="000000"/>
        </w:rPr>
      </w:pPr>
      <w:r>
        <w:rPr>
          <w:rFonts w:hint="eastAsia" w:ascii="宋体" w:hAnsi="宋体" w:cs="宋体"/>
          <w:b/>
          <w:bCs/>
          <w:color w:val="auto"/>
          <w:kern w:val="0"/>
          <w:szCs w:val="21"/>
          <w:highlight w:val="none"/>
          <w:u w:color="000000"/>
        </w:rPr>
        <w:t>以上要求提供的证件复印件或通过公证的公证件复印件按顺序装订成册加盖公章并密封于“投标书一”的密封袋内。投标供应商所提交的资信证明文件必须完整，否则将导致无效投标。</w:t>
      </w:r>
    </w:p>
    <w:p w14:paraId="4E1E8101">
      <w:pPr>
        <w:keepNext/>
        <w:keepLines w:val="0"/>
        <w:pageBreakBefore w:val="0"/>
        <w:widowControl w:val="0"/>
        <w:kinsoku/>
        <w:wordWrap/>
        <w:overflowPunct/>
        <w:topLinePunct w:val="0"/>
        <w:autoSpaceDE/>
        <w:autoSpaceDN/>
        <w:bidi w:val="0"/>
        <w:adjustRightInd/>
        <w:snapToGrid/>
        <w:spacing w:line="440" w:lineRule="exact"/>
        <w:ind w:firstLine="422" w:firstLineChars="200"/>
        <w:outlineLvl w:val="2"/>
        <w:rPr>
          <w:rFonts w:ascii="黑体" w:hAnsi="黑体" w:eastAsia="黑体" w:cs="黑体"/>
          <w:b/>
          <w:color w:val="auto"/>
          <w:szCs w:val="21"/>
          <w:highlight w:val="none"/>
        </w:rPr>
      </w:pPr>
      <w:bookmarkStart w:id="125" w:name="_Toc24327"/>
      <w:r>
        <w:rPr>
          <w:rFonts w:hint="eastAsia" w:ascii="黑体" w:hAnsi="黑体" w:eastAsia="黑体" w:cs="黑体"/>
          <w:b/>
          <w:color w:val="auto"/>
          <w:szCs w:val="21"/>
          <w:highlight w:val="none"/>
        </w:rPr>
        <w:t>4.符合性审查</w:t>
      </w:r>
      <w:bookmarkEnd w:id="125"/>
    </w:p>
    <w:p w14:paraId="0347D557">
      <w:pPr>
        <w:keepNext/>
        <w:keepLines w:val="0"/>
        <w:pageBreakBefore w:val="0"/>
        <w:widowControl w:val="0"/>
        <w:kinsoku/>
        <w:wordWrap/>
        <w:overflowPunct/>
        <w:topLinePunct w:val="0"/>
        <w:autoSpaceDE/>
        <w:autoSpaceDN/>
        <w:bidi w:val="0"/>
        <w:adjustRightInd/>
        <w:snapToGrid/>
        <w:spacing w:line="440" w:lineRule="exact"/>
        <w:ind w:firstLine="420" w:firstLineChars="200"/>
        <w:outlineLvl w:val="3"/>
        <w:rPr>
          <w:rFonts w:ascii="宋体" w:hAnsi="宋体" w:cs="宋体"/>
          <w:bCs/>
          <w:color w:val="auto"/>
          <w:szCs w:val="21"/>
          <w:highlight w:val="none"/>
        </w:rPr>
      </w:pPr>
      <w:r>
        <w:rPr>
          <w:rFonts w:hint="eastAsia" w:ascii="宋体" w:hAnsi="宋体" w:cs="宋体"/>
          <w:bCs/>
          <w:color w:val="auto"/>
          <w:szCs w:val="21"/>
          <w:highlight w:val="none"/>
        </w:rPr>
        <w:t>4．1评审细则</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04"/>
        <w:gridCol w:w="2931"/>
        <w:gridCol w:w="5024"/>
      </w:tblGrid>
      <w:tr w14:paraId="23FC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31" w:type="dxa"/>
            <w:vAlign w:val="center"/>
          </w:tcPr>
          <w:p w14:paraId="75D01324">
            <w:pPr>
              <w:keepNext/>
              <w:keepLines w:val="0"/>
              <w:pageBreakBefore w:val="0"/>
              <w:widowControl w:val="0"/>
              <w:kinsoku/>
              <w:wordWrap/>
              <w:overflowPunct/>
              <w:topLinePunct w:val="0"/>
              <w:autoSpaceDE/>
              <w:autoSpaceDN/>
              <w:bidi w:val="0"/>
              <w:adjustRightInd/>
              <w:snapToGrid/>
              <w:spacing w:line="440" w:lineRule="exact"/>
              <w:jc w:val="center"/>
              <w:rPr>
                <w:rFonts w:ascii="黑体" w:hAnsi="黑体" w:eastAsia="黑体" w:cs="黑体"/>
                <w:b/>
                <w:bCs/>
                <w:color w:val="auto"/>
                <w:szCs w:val="21"/>
                <w:highlight w:val="none"/>
              </w:rPr>
            </w:pPr>
            <w:r>
              <w:rPr>
                <w:rFonts w:hint="eastAsia" w:ascii="黑体" w:hAnsi="黑体" w:eastAsia="黑体" w:cs="黑体"/>
                <w:b/>
                <w:bCs/>
                <w:color w:val="auto"/>
                <w:szCs w:val="21"/>
                <w:highlight w:val="none"/>
              </w:rPr>
              <w:t>序号</w:t>
            </w:r>
          </w:p>
        </w:tc>
        <w:tc>
          <w:tcPr>
            <w:tcW w:w="4135" w:type="dxa"/>
            <w:gridSpan w:val="2"/>
            <w:vAlign w:val="center"/>
          </w:tcPr>
          <w:p w14:paraId="4A7B302F">
            <w:pPr>
              <w:keepNext/>
              <w:keepLines w:val="0"/>
              <w:pageBreakBefore w:val="0"/>
              <w:widowControl w:val="0"/>
              <w:kinsoku/>
              <w:wordWrap/>
              <w:overflowPunct/>
              <w:topLinePunct w:val="0"/>
              <w:autoSpaceDE/>
              <w:autoSpaceDN/>
              <w:bidi w:val="0"/>
              <w:adjustRightInd/>
              <w:snapToGrid/>
              <w:spacing w:line="440" w:lineRule="exact"/>
              <w:jc w:val="center"/>
              <w:rPr>
                <w:rFonts w:ascii="黑体" w:hAnsi="黑体" w:eastAsia="黑体" w:cs="黑体"/>
                <w:b/>
                <w:bCs/>
                <w:color w:val="auto"/>
                <w:szCs w:val="21"/>
                <w:highlight w:val="none"/>
              </w:rPr>
            </w:pPr>
            <w:r>
              <w:rPr>
                <w:rFonts w:hint="eastAsia" w:ascii="黑体" w:hAnsi="黑体" w:eastAsia="黑体" w:cs="黑体"/>
                <w:b/>
                <w:bCs/>
                <w:color w:val="auto"/>
                <w:szCs w:val="21"/>
                <w:highlight w:val="none"/>
              </w:rPr>
              <w:t>审查因素</w:t>
            </w:r>
          </w:p>
        </w:tc>
        <w:tc>
          <w:tcPr>
            <w:tcW w:w="5024" w:type="dxa"/>
            <w:vAlign w:val="center"/>
          </w:tcPr>
          <w:p w14:paraId="72F45F67">
            <w:pPr>
              <w:keepNext/>
              <w:keepLines w:val="0"/>
              <w:pageBreakBefore w:val="0"/>
              <w:widowControl w:val="0"/>
              <w:kinsoku/>
              <w:wordWrap/>
              <w:overflowPunct/>
              <w:topLinePunct w:val="0"/>
              <w:autoSpaceDE/>
              <w:autoSpaceDN/>
              <w:bidi w:val="0"/>
              <w:adjustRightInd/>
              <w:snapToGrid/>
              <w:spacing w:line="440" w:lineRule="exact"/>
              <w:jc w:val="center"/>
              <w:rPr>
                <w:rFonts w:ascii="黑体" w:hAnsi="黑体" w:eastAsia="黑体" w:cs="黑体"/>
                <w:b/>
                <w:bCs/>
                <w:color w:val="auto"/>
                <w:szCs w:val="21"/>
                <w:highlight w:val="none"/>
              </w:rPr>
            </w:pPr>
            <w:r>
              <w:rPr>
                <w:rFonts w:hint="eastAsia" w:ascii="黑体" w:hAnsi="黑体" w:eastAsia="黑体" w:cs="黑体"/>
                <w:b/>
                <w:bCs/>
                <w:color w:val="auto"/>
                <w:szCs w:val="21"/>
                <w:highlight w:val="none"/>
              </w:rPr>
              <w:t>审查内容</w:t>
            </w:r>
          </w:p>
        </w:tc>
      </w:tr>
      <w:tr w14:paraId="5CDA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1" w:type="dxa"/>
            <w:vMerge w:val="restart"/>
            <w:vAlign w:val="center"/>
          </w:tcPr>
          <w:p w14:paraId="3573E372">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204" w:type="dxa"/>
            <w:vMerge w:val="restart"/>
            <w:vAlign w:val="center"/>
          </w:tcPr>
          <w:p w14:paraId="39E9504D">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标书的有效性</w:t>
            </w:r>
          </w:p>
        </w:tc>
        <w:tc>
          <w:tcPr>
            <w:tcW w:w="2931" w:type="dxa"/>
            <w:vAlign w:val="center"/>
          </w:tcPr>
          <w:p w14:paraId="46BA632D">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（1）投标文件签署</w:t>
            </w:r>
          </w:p>
        </w:tc>
        <w:tc>
          <w:tcPr>
            <w:tcW w:w="5024" w:type="dxa"/>
            <w:vAlign w:val="center"/>
          </w:tcPr>
          <w:p w14:paraId="777BA0F1">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签字、盖章符合要求。</w:t>
            </w:r>
          </w:p>
        </w:tc>
      </w:tr>
      <w:tr w14:paraId="5801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731" w:type="dxa"/>
            <w:vMerge w:val="continue"/>
            <w:vAlign w:val="center"/>
          </w:tcPr>
          <w:p w14:paraId="3A8E71B9">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1204" w:type="dxa"/>
            <w:vMerge w:val="continue"/>
            <w:vAlign w:val="center"/>
          </w:tcPr>
          <w:p w14:paraId="05ADA778">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2931" w:type="dxa"/>
            <w:vAlign w:val="center"/>
          </w:tcPr>
          <w:p w14:paraId="71FE513A">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（2）投标方案</w:t>
            </w:r>
          </w:p>
        </w:tc>
        <w:tc>
          <w:tcPr>
            <w:tcW w:w="5024" w:type="dxa"/>
            <w:vAlign w:val="center"/>
          </w:tcPr>
          <w:p w14:paraId="447F0579">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lang w:val="zh-CN"/>
              </w:rPr>
              <w:t>每个分包只能有一个方案投标。</w:t>
            </w:r>
          </w:p>
        </w:tc>
      </w:tr>
      <w:tr w14:paraId="035F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731" w:type="dxa"/>
            <w:vMerge w:val="continue"/>
            <w:vAlign w:val="center"/>
          </w:tcPr>
          <w:p w14:paraId="562C1606">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1204" w:type="dxa"/>
            <w:vMerge w:val="continue"/>
            <w:vAlign w:val="center"/>
          </w:tcPr>
          <w:p w14:paraId="7455CFD9">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2931" w:type="dxa"/>
            <w:vAlign w:val="center"/>
          </w:tcPr>
          <w:p w14:paraId="1B13B8B6">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rPr>
              <w:t>（3）报价唯一</w:t>
            </w:r>
          </w:p>
        </w:tc>
        <w:tc>
          <w:tcPr>
            <w:tcW w:w="5024" w:type="dxa"/>
            <w:vAlign w:val="center"/>
          </w:tcPr>
          <w:p w14:paraId="5EA1E1C7">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lang w:val="zh-CN"/>
              </w:rPr>
              <w:t>只能在限价范围内报价，</w:t>
            </w:r>
            <w:r>
              <w:rPr>
                <w:rFonts w:hint="eastAsia" w:ascii="宋体" w:hAnsi="宋体" w:cs="宋体"/>
                <w:color w:val="auto"/>
                <w:szCs w:val="21"/>
                <w:highlight w:val="none"/>
              </w:rPr>
              <w:t>只能有一个有效报价，不得提交选择性报价。</w:t>
            </w:r>
          </w:p>
        </w:tc>
      </w:tr>
      <w:tr w14:paraId="4166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731" w:type="dxa"/>
            <w:vMerge w:val="continue"/>
            <w:vAlign w:val="center"/>
          </w:tcPr>
          <w:p w14:paraId="7E70AD99">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1204" w:type="dxa"/>
            <w:vMerge w:val="continue"/>
            <w:vAlign w:val="center"/>
          </w:tcPr>
          <w:p w14:paraId="43C0BF5E">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2931" w:type="dxa"/>
            <w:vAlign w:val="center"/>
          </w:tcPr>
          <w:p w14:paraId="547A4B7E">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rPr>
              <w:t>（4）投标文件的有效期</w:t>
            </w:r>
          </w:p>
        </w:tc>
        <w:tc>
          <w:tcPr>
            <w:tcW w:w="5024" w:type="dxa"/>
            <w:vAlign w:val="center"/>
          </w:tcPr>
          <w:p w14:paraId="72AF1283">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完全响应。</w:t>
            </w:r>
          </w:p>
        </w:tc>
      </w:tr>
      <w:tr w14:paraId="3F96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731" w:type="dxa"/>
            <w:vMerge w:val="restart"/>
            <w:vAlign w:val="center"/>
          </w:tcPr>
          <w:p w14:paraId="061E2E58">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204" w:type="dxa"/>
            <w:vMerge w:val="restart"/>
            <w:vAlign w:val="center"/>
          </w:tcPr>
          <w:p w14:paraId="4EE49938">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标书的完整性</w:t>
            </w:r>
          </w:p>
        </w:tc>
        <w:tc>
          <w:tcPr>
            <w:tcW w:w="2931" w:type="dxa"/>
            <w:vAlign w:val="center"/>
          </w:tcPr>
          <w:p w14:paraId="32D6DC7A">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lang w:val="zh-CN"/>
              </w:rPr>
              <w:t>（5）投标文件份数</w:t>
            </w:r>
          </w:p>
        </w:tc>
        <w:tc>
          <w:tcPr>
            <w:tcW w:w="5024" w:type="dxa"/>
            <w:vAlign w:val="center"/>
          </w:tcPr>
          <w:p w14:paraId="77D4F3B5">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color w:val="auto"/>
                <w:szCs w:val="21"/>
                <w:highlight w:val="none"/>
                <w:lang w:val="zh-CN"/>
              </w:rPr>
              <w:t>执行采购文件要求</w:t>
            </w:r>
          </w:p>
        </w:tc>
      </w:tr>
      <w:tr w14:paraId="5173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731" w:type="dxa"/>
            <w:vMerge w:val="continue"/>
            <w:vAlign w:val="center"/>
          </w:tcPr>
          <w:p w14:paraId="060FECBD">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1204" w:type="dxa"/>
            <w:vMerge w:val="continue"/>
            <w:vAlign w:val="center"/>
          </w:tcPr>
          <w:p w14:paraId="2BF9D2B2">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p>
        </w:tc>
        <w:tc>
          <w:tcPr>
            <w:tcW w:w="2931" w:type="dxa"/>
            <w:vAlign w:val="center"/>
          </w:tcPr>
          <w:p w14:paraId="2A14CDCF">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（6）投标文件形式内容</w:t>
            </w:r>
          </w:p>
        </w:tc>
        <w:tc>
          <w:tcPr>
            <w:tcW w:w="5024" w:type="dxa"/>
            <w:vAlign w:val="center"/>
          </w:tcPr>
          <w:p w14:paraId="7B283B30">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投标文件内容清晰、齐全无遗漏</w:t>
            </w:r>
          </w:p>
        </w:tc>
      </w:tr>
      <w:tr w14:paraId="1BE9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731" w:type="dxa"/>
            <w:vMerge w:val="restart"/>
            <w:vAlign w:val="center"/>
          </w:tcPr>
          <w:p w14:paraId="5B11CEE5">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204" w:type="dxa"/>
            <w:vMerge w:val="restart"/>
            <w:vAlign w:val="center"/>
          </w:tcPr>
          <w:p w14:paraId="553B059A">
            <w:pPr>
              <w:keepNext/>
              <w:keepLines w:val="0"/>
              <w:pageBreakBefore w:val="0"/>
              <w:widowControl w:val="0"/>
              <w:kinsoku/>
              <w:wordWrap/>
              <w:overflowPunct/>
              <w:topLinePunct w:val="0"/>
              <w:autoSpaceDE/>
              <w:autoSpaceDN/>
              <w:bidi w:val="0"/>
              <w:adjustRightInd/>
              <w:snapToGrid/>
              <w:spacing w:line="44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标书的响应程度</w:t>
            </w:r>
          </w:p>
        </w:tc>
        <w:tc>
          <w:tcPr>
            <w:tcW w:w="2931" w:type="dxa"/>
            <w:vAlign w:val="center"/>
          </w:tcPr>
          <w:p w14:paraId="5452B9B0">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（7）技术参数响应程度</w:t>
            </w:r>
          </w:p>
        </w:tc>
        <w:tc>
          <w:tcPr>
            <w:tcW w:w="5024" w:type="dxa"/>
            <w:vAlign w:val="center"/>
          </w:tcPr>
          <w:p w14:paraId="04AA7F7D">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执行采购文件要求</w:t>
            </w:r>
          </w:p>
        </w:tc>
      </w:tr>
      <w:tr w14:paraId="6136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731" w:type="dxa"/>
            <w:vMerge w:val="continue"/>
            <w:vAlign w:val="center"/>
          </w:tcPr>
          <w:p w14:paraId="6C3DAFBC">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p>
        </w:tc>
        <w:tc>
          <w:tcPr>
            <w:tcW w:w="1204" w:type="dxa"/>
            <w:vMerge w:val="continue"/>
            <w:vAlign w:val="center"/>
          </w:tcPr>
          <w:p w14:paraId="158BBAB5">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p>
        </w:tc>
        <w:tc>
          <w:tcPr>
            <w:tcW w:w="2931" w:type="dxa"/>
            <w:vAlign w:val="center"/>
          </w:tcPr>
          <w:p w14:paraId="2C866B86">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（8）商务条款响应程度（包括供货期、售后服务、技术培训等）</w:t>
            </w:r>
          </w:p>
        </w:tc>
        <w:tc>
          <w:tcPr>
            <w:tcW w:w="5024" w:type="dxa"/>
            <w:vAlign w:val="center"/>
          </w:tcPr>
          <w:p w14:paraId="3BD7CF3E">
            <w:pPr>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完全响应或优于采购文件要求</w:t>
            </w:r>
          </w:p>
        </w:tc>
      </w:tr>
    </w:tbl>
    <w:p w14:paraId="7C8E9EC8">
      <w:pPr>
        <w:keepNext/>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4.2评委会判定投标文件的响应性只根据投标文件本身的内容，而不寻求外部的证据，但投标有不真实不正确的内容时除外。</w:t>
      </w:r>
    </w:p>
    <w:p w14:paraId="066E5BDE">
      <w:pPr>
        <w:keepNext/>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4.3如果投标文件实质上没有响应采购文件的要求，评委会将予以拒绝，投标供应商不得通过修正或撤销不符合要求的偏离或保留，而使其投标成为实质上响应的投标。</w:t>
      </w:r>
    </w:p>
    <w:p w14:paraId="52C6F4D7">
      <w:pPr>
        <w:keepNext/>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4.4投标供应商可在现场20分钟内对评标委员会的评审结论提出异议，评标委员会根据采购文件及有关规定对投标供应商的异议进行复议。</w:t>
      </w:r>
    </w:p>
    <w:p w14:paraId="35ABC7DA">
      <w:pPr>
        <w:keepNext/>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outlineLvl w:val="3"/>
        <w:rPr>
          <w:rFonts w:ascii="宋体" w:hAnsi="宋体" w:cs="宋体"/>
          <w:color w:val="auto"/>
          <w:szCs w:val="21"/>
          <w:highlight w:val="none"/>
        </w:rPr>
      </w:pPr>
      <w:r>
        <w:rPr>
          <w:rFonts w:hint="eastAsia" w:ascii="宋体" w:hAnsi="宋体" w:cs="宋体"/>
          <w:color w:val="auto"/>
          <w:szCs w:val="21"/>
          <w:highlight w:val="none"/>
        </w:rPr>
        <w:t>4.5只有通过初审的投标供应商才能进入下一步评标程序。</w:t>
      </w:r>
    </w:p>
    <w:p w14:paraId="1A1ED7AE">
      <w:pPr>
        <w:keepNext/>
        <w:keepLines w:val="0"/>
        <w:pageBreakBefore w:val="0"/>
        <w:widowControl w:val="0"/>
        <w:kinsoku/>
        <w:wordWrap/>
        <w:overflowPunct/>
        <w:topLinePunct w:val="0"/>
        <w:autoSpaceDE/>
        <w:autoSpaceDN/>
        <w:bidi w:val="0"/>
        <w:adjustRightInd/>
        <w:spacing w:before="162" w:beforeLines="50" w:after="162" w:afterLines="50" w:line="440" w:lineRule="exact"/>
        <w:jc w:val="center"/>
        <w:textAlignment w:val="auto"/>
        <w:outlineLvl w:val="4"/>
        <w:rPr>
          <w:rFonts w:ascii="黑体" w:hAnsi="黑体" w:eastAsia="黑体" w:cs="黑体"/>
          <w:b/>
          <w:color w:val="auto"/>
          <w:sz w:val="28"/>
          <w:szCs w:val="28"/>
          <w:highlight w:val="none"/>
        </w:rPr>
      </w:pPr>
      <w:bookmarkStart w:id="126" w:name="_Toc8811"/>
      <w:bookmarkStart w:id="127" w:name="_Toc20667"/>
      <w:bookmarkStart w:id="128" w:name="_Toc469495734"/>
      <w:bookmarkStart w:id="129" w:name="_Toc362983803"/>
      <w:r>
        <w:rPr>
          <w:rFonts w:hint="eastAsia" w:ascii="黑体" w:hAnsi="黑体" w:eastAsia="黑体" w:cs="黑体"/>
          <w:b/>
          <w:color w:val="auto"/>
          <w:sz w:val="28"/>
          <w:szCs w:val="28"/>
          <w:highlight w:val="none"/>
        </w:rPr>
        <w:t>三  投标文件的澄清和补正</w:t>
      </w:r>
      <w:bookmarkEnd w:id="126"/>
      <w:bookmarkEnd w:id="127"/>
      <w:bookmarkEnd w:id="128"/>
      <w:bookmarkEnd w:id="129"/>
    </w:p>
    <w:p w14:paraId="2C44EDC0">
      <w:pPr>
        <w:keepNext/>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5.1评审阶段，评委可能会要求有关投标供应商就其投标书中含义不明确、同类问题表述不一致或者有明显文字和计算错误的内容进行澄清。投标供应商必须在规定时间内进行回复，否则将视为放弃回复。请投标供应商及时关注系统。</w:t>
      </w:r>
    </w:p>
    <w:p w14:paraId="6B61B9C9">
      <w:pPr>
        <w:keepNext/>
        <w:keepLines w:val="0"/>
        <w:pageBreakBefore w:val="0"/>
        <w:widowControl w:val="0"/>
        <w:kinsoku/>
        <w:wordWrap/>
        <w:overflowPunct/>
        <w:topLinePunct w:val="0"/>
        <w:autoSpaceDE/>
        <w:autoSpaceDN/>
        <w:bidi w:val="0"/>
        <w:adjustRightInd/>
        <w:spacing w:line="440" w:lineRule="exact"/>
        <w:ind w:firstLine="420" w:firstLineChars="200"/>
        <w:jc w:val="left"/>
        <w:textAlignment w:val="auto"/>
        <w:outlineLvl w:val="3"/>
        <w:rPr>
          <w:rFonts w:ascii="宋体" w:hAnsi="宋体" w:cs="宋体"/>
          <w:color w:val="auto"/>
          <w:szCs w:val="21"/>
          <w:highlight w:val="none"/>
        </w:rPr>
      </w:pPr>
      <w:r>
        <w:rPr>
          <w:rFonts w:hint="eastAsia" w:ascii="宋体" w:hAnsi="宋体" w:cs="宋体"/>
          <w:color w:val="auto"/>
          <w:szCs w:val="21"/>
          <w:highlight w:val="none"/>
        </w:rPr>
        <w:t>5.2评委会修正错误的原则：</w:t>
      </w:r>
    </w:p>
    <w:p w14:paraId="1F214876">
      <w:pPr>
        <w:keepNext/>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5.2.1如果数字表示的金额和用文字表示的金额不一致时，以文字表示的金额为准；当货物服务报价表、投标函的总报价与开标一览表不一致时，以开标一览表为准。</w:t>
      </w:r>
    </w:p>
    <w:p w14:paraId="5AE594D5">
      <w:pPr>
        <w:keepNext/>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5.2.2如果单价与数量的乘积和总价不一致，以单价为准，修正总价及开标一览表；当单价小数点有明显的错位时，评委会将以总价为准，并修正其单价。</w:t>
      </w:r>
    </w:p>
    <w:p w14:paraId="348B9189">
      <w:pPr>
        <w:keepNext/>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5.3评委会将按上述修正错误的方法调整投标文件中的投标报价，调整后的价格应对投标供应商具有约束力。无论投标供应商是接受或是拒绝调整后的价格，都应当由投标供应商进行有效确认。投标供应商拒绝对投标文件出现的错漏按上述原则进行修正、澄清、说明，评标委员会应当否决其投标。</w:t>
      </w:r>
      <w:bookmarkStart w:id="130" w:name="_Toc469495735"/>
    </w:p>
    <w:bookmarkEnd w:id="130"/>
    <w:p w14:paraId="695B0CA9">
      <w:pPr>
        <w:keepNext/>
        <w:keepLines w:val="0"/>
        <w:pageBreakBefore w:val="0"/>
        <w:widowControl w:val="0"/>
        <w:kinsoku/>
        <w:wordWrap/>
        <w:overflowPunct/>
        <w:topLinePunct w:val="0"/>
        <w:autoSpaceDE/>
        <w:autoSpaceDN/>
        <w:bidi w:val="0"/>
        <w:adjustRightInd/>
        <w:spacing w:before="162" w:beforeLines="50" w:after="162" w:afterLines="50" w:line="440" w:lineRule="exact"/>
        <w:jc w:val="center"/>
        <w:textAlignment w:val="auto"/>
        <w:outlineLvl w:val="4"/>
        <w:rPr>
          <w:rFonts w:ascii="黑体" w:hAnsi="黑体" w:eastAsia="黑体" w:cs="黑体"/>
          <w:b/>
          <w:color w:val="auto"/>
          <w:sz w:val="28"/>
          <w:szCs w:val="28"/>
          <w:highlight w:val="none"/>
        </w:rPr>
      </w:pPr>
      <w:bookmarkStart w:id="131" w:name="_Toc27786"/>
      <w:bookmarkStart w:id="132" w:name="_Toc6932"/>
      <w:bookmarkStart w:id="133" w:name="_Toc29803"/>
      <w:bookmarkStart w:id="134" w:name="_Toc23516"/>
      <w:bookmarkStart w:id="135" w:name="_Toc469495736"/>
      <w:bookmarkStart w:id="136" w:name="_Toc362983805"/>
      <w:r>
        <w:rPr>
          <w:rFonts w:hint="eastAsia" w:ascii="黑体" w:hAnsi="黑体" w:eastAsia="黑体" w:cs="黑体"/>
          <w:b/>
          <w:color w:val="auto"/>
          <w:sz w:val="28"/>
          <w:szCs w:val="28"/>
          <w:highlight w:val="none"/>
        </w:rPr>
        <w:t xml:space="preserve">四 </w:t>
      </w:r>
      <w:r>
        <w:rPr>
          <w:rFonts w:ascii="黑体" w:hAnsi="黑体" w:eastAsia="黑体" w:cs="黑体"/>
          <w:b/>
          <w:color w:val="auto"/>
          <w:sz w:val="28"/>
          <w:szCs w:val="28"/>
          <w:highlight w:val="none"/>
        </w:rPr>
        <w:t xml:space="preserve"> </w:t>
      </w:r>
      <w:r>
        <w:rPr>
          <w:rFonts w:hint="eastAsia" w:ascii="黑体" w:hAnsi="黑体" w:eastAsia="黑体" w:cs="黑体"/>
          <w:b/>
          <w:color w:val="auto"/>
          <w:sz w:val="28"/>
          <w:szCs w:val="28"/>
          <w:highlight w:val="none"/>
        </w:rPr>
        <w:t>比较与评价</w:t>
      </w:r>
      <w:bookmarkEnd w:id="131"/>
      <w:bookmarkEnd w:id="132"/>
    </w:p>
    <w:p w14:paraId="65018BB4">
      <w:pPr>
        <w:keepNext/>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6.详细评审即按采购文件中规定的评标方法和标准，评标委员会将对通过初审的投标文件，进行技术和商务部分评估、综合比较与评价。</w:t>
      </w:r>
    </w:p>
    <w:p w14:paraId="19ACBB7C">
      <w:pPr>
        <w:pStyle w:val="57"/>
        <w:keepNext w:val="0"/>
        <w:keepLines w:val="0"/>
        <w:pageBreakBefore w:val="0"/>
        <w:kinsoku/>
        <w:wordWrap/>
        <w:overflowPunct/>
        <w:topLinePunct w:val="0"/>
        <w:autoSpaceDE/>
        <w:autoSpaceDN/>
        <w:bidi w:val="0"/>
        <w:adjustRightInd/>
        <w:spacing w:line="440" w:lineRule="exact"/>
        <w:ind w:firstLine="422" w:firstLineChars="200"/>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b/>
          <w:bCs/>
          <w:color w:val="auto"/>
          <w:sz w:val="21"/>
          <w:szCs w:val="21"/>
          <w:highlight w:val="none"/>
        </w:rPr>
        <w:t>6.1</w:t>
      </w:r>
      <w:r>
        <w:rPr>
          <w:rFonts w:hint="eastAsia" w:ascii="宋体" w:hAnsi="宋体" w:cs="宋体"/>
          <w:b/>
          <w:bCs/>
          <w:color w:val="auto"/>
          <w:spacing w:val="0"/>
          <w:position w:val="0"/>
          <w:sz w:val="21"/>
          <w:szCs w:val="21"/>
          <w:highlight w:val="none"/>
          <w:lang w:val="en-US" w:eastAsia="zh-CN"/>
        </w:rPr>
        <w:t>1.</w:t>
      </w:r>
      <w:r>
        <w:rPr>
          <w:rFonts w:hint="eastAsia" w:ascii="宋体" w:hAnsi="宋体" w:cs="宋体"/>
          <w:b/>
          <w:bCs/>
          <w:color w:val="auto"/>
          <w:spacing w:val="0"/>
          <w:position w:val="0"/>
          <w:sz w:val="21"/>
          <w:szCs w:val="21"/>
          <w:highlight w:val="none"/>
        </w:rPr>
        <w:t>资信评审细则（</w:t>
      </w:r>
      <w:r>
        <w:rPr>
          <w:rFonts w:hint="eastAsia" w:ascii="宋体" w:hAnsi="宋体" w:cs="宋体"/>
          <w:b/>
          <w:bCs/>
          <w:color w:val="auto"/>
          <w:spacing w:val="0"/>
          <w:position w:val="0"/>
          <w:sz w:val="21"/>
          <w:szCs w:val="21"/>
          <w:highlight w:val="none"/>
          <w:lang w:val="en-US" w:eastAsia="zh-CN"/>
        </w:rPr>
        <w:t>5</w:t>
      </w:r>
      <w:r>
        <w:rPr>
          <w:rFonts w:hint="eastAsia" w:ascii="宋体" w:hAnsi="宋体" w:cs="宋体"/>
          <w:b/>
          <w:bCs/>
          <w:color w:val="auto"/>
          <w:spacing w:val="0"/>
          <w:position w:val="0"/>
          <w:sz w:val="21"/>
          <w:szCs w:val="21"/>
          <w:highlight w:val="none"/>
        </w:rPr>
        <w:t>分）</w:t>
      </w:r>
    </w:p>
    <w:tbl>
      <w:tblPr>
        <w:tblStyle w:val="26"/>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86"/>
        <w:gridCol w:w="7884"/>
      </w:tblGrid>
      <w:tr w14:paraId="4913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22" w:type="dxa"/>
            <w:noWrap w:val="0"/>
            <w:vAlign w:val="center"/>
          </w:tcPr>
          <w:p w14:paraId="48703698">
            <w:pPr>
              <w:pStyle w:val="57"/>
              <w:spacing w:line="440" w:lineRule="exact"/>
              <w:ind w:firstLine="0"/>
              <w:jc w:val="center"/>
              <w:rPr>
                <w:rFonts w:ascii="黑体" w:hAnsi="黑体" w:eastAsia="黑体" w:cs="黑体"/>
                <w:b/>
                <w:bCs/>
                <w:color w:val="auto"/>
                <w:spacing w:val="0"/>
                <w:kern w:val="0"/>
                <w:position w:val="0"/>
                <w:sz w:val="21"/>
                <w:szCs w:val="21"/>
                <w:highlight w:val="none"/>
              </w:rPr>
            </w:pPr>
            <w:r>
              <w:rPr>
                <w:rFonts w:hint="eastAsia" w:ascii="黑体" w:hAnsi="黑体" w:eastAsia="黑体" w:cs="黑体"/>
                <w:b/>
                <w:bCs/>
                <w:color w:val="auto"/>
                <w:spacing w:val="0"/>
                <w:kern w:val="0"/>
                <w:position w:val="0"/>
                <w:sz w:val="21"/>
                <w:szCs w:val="21"/>
                <w:highlight w:val="none"/>
              </w:rPr>
              <w:t>序号</w:t>
            </w:r>
          </w:p>
        </w:tc>
        <w:tc>
          <w:tcPr>
            <w:tcW w:w="1486" w:type="dxa"/>
            <w:noWrap w:val="0"/>
            <w:vAlign w:val="center"/>
          </w:tcPr>
          <w:p w14:paraId="50C3A9C7">
            <w:pPr>
              <w:pStyle w:val="57"/>
              <w:spacing w:line="440" w:lineRule="exact"/>
              <w:ind w:firstLine="0"/>
              <w:jc w:val="center"/>
              <w:rPr>
                <w:rFonts w:ascii="黑体" w:hAnsi="黑体" w:eastAsia="黑体" w:cs="黑体"/>
                <w:b/>
                <w:bCs/>
                <w:color w:val="auto"/>
                <w:spacing w:val="0"/>
                <w:kern w:val="0"/>
                <w:position w:val="0"/>
                <w:sz w:val="21"/>
                <w:szCs w:val="21"/>
                <w:highlight w:val="none"/>
              </w:rPr>
            </w:pPr>
            <w:r>
              <w:rPr>
                <w:rFonts w:hint="eastAsia" w:ascii="黑体" w:hAnsi="黑体" w:eastAsia="黑体" w:cs="黑体"/>
                <w:b/>
                <w:bCs/>
                <w:color w:val="auto"/>
                <w:spacing w:val="0"/>
                <w:position w:val="0"/>
                <w:sz w:val="21"/>
                <w:szCs w:val="21"/>
                <w:highlight w:val="none"/>
              </w:rPr>
              <w:t>评分因素</w:t>
            </w:r>
          </w:p>
        </w:tc>
        <w:tc>
          <w:tcPr>
            <w:tcW w:w="7884" w:type="dxa"/>
            <w:noWrap w:val="0"/>
            <w:vAlign w:val="center"/>
          </w:tcPr>
          <w:p w14:paraId="76CB6847">
            <w:pPr>
              <w:pStyle w:val="57"/>
              <w:spacing w:line="440" w:lineRule="exact"/>
              <w:ind w:firstLine="0"/>
              <w:jc w:val="center"/>
              <w:rPr>
                <w:rFonts w:ascii="黑体" w:hAnsi="黑体" w:eastAsia="黑体" w:cs="黑体"/>
                <w:b/>
                <w:bCs/>
                <w:color w:val="auto"/>
                <w:spacing w:val="0"/>
                <w:kern w:val="0"/>
                <w:position w:val="0"/>
                <w:sz w:val="21"/>
                <w:szCs w:val="21"/>
                <w:highlight w:val="none"/>
              </w:rPr>
            </w:pPr>
            <w:r>
              <w:rPr>
                <w:rFonts w:hint="eastAsia" w:ascii="黑体" w:hAnsi="黑体" w:eastAsia="黑体" w:cs="黑体"/>
                <w:b/>
                <w:bCs/>
                <w:color w:val="auto"/>
                <w:spacing w:val="0"/>
                <w:kern w:val="0"/>
                <w:position w:val="0"/>
                <w:sz w:val="21"/>
                <w:szCs w:val="21"/>
                <w:highlight w:val="none"/>
              </w:rPr>
              <w:t>评审细则</w:t>
            </w:r>
          </w:p>
        </w:tc>
      </w:tr>
      <w:tr w14:paraId="073D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722" w:type="dxa"/>
            <w:noWrap w:val="0"/>
            <w:vAlign w:val="center"/>
          </w:tcPr>
          <w:p w14:paraId="34788B8C">
            <w:pPr>
              <w:pStyle w:val="57"/>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ascii="宋体" w:hAnsi="宋体" w:cs="宋体"/>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rPr>
              <w:t>1</w:t>
            </w:r>
          </w:p>
        </w:tc>
        <w:tc>
          <w:tcPr>
            <w:tcW w:w="1486" w:type="dxa"/>
            <w:noWrap w:val="0"/>
            <w:vAlign w:val="center"/>
          </w:tcPr>
          <w:p w14:paraId="6CBC0139">
            <w:pPr>
              <w:pStyle w:val="57"/>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ascii="宋体" w:hAnsi="宋体" w:cs="宋体"/>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rPr>
              <w:t>企业业绩</w:t>
            </w:r>
          </w:p>
          <w:p w14:paraId="45325E68">
            <w:pPr>
              <w:pStyle w:val="57"/>
              <w:keepNext w:val="0"/>
              <w:keepLines w:val="0"/>
              <w:pageBreakBefore w:val="0"/>
              <w:widowControl/>
              <w:kinsoku/>
              <w:wordWrap/>
              <w:overflowPunct/>
              <w:topLinePunct w:val="0"/>
              <w:autoSpaceDE/>
              <w:autoSpaceDN/>
              <w:bidi w:val="0"/>
              <w:adjustRightInd/>
              <w:snapToGrid w:val="0"/>
              <w:spacing w:line="440" w:lineRule="exact"/>
              <w:ind w:firstLine="0" w:firstLineChars="0"/>
              <w:jc w:val="center"/>
              <w:textAlignment w:val="auto"/>
              <w:rPr>
                <w:rFonts w:ascii="宋体" w:hAnsi="宋体" w:cs="宋体"/>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rPr>
              <w:t>（</w:t>
            </w:r>
            <w:r>
              <w:rPr>
                <w:rFonts w:hint="eastAsia" w:ascii="宋体" w:hAnsi="宋体" w:cs="宋体"/>
                <w:color w:val="auto"/>
                <w:spacing w:val="0"/>
                <w:kern w:val="0"/>
                <w:position w:val="0"/>
                <w:sz w:val="21"/>
                <w:szCs w:val="21"/>
                <w:highlight w:val="none"/>
                <w:lang w:val="en-US" w:eastAsia="zh-CN"/>
              </w:rPr>
              <w:t>5</w:t>
            </w:r>
            <w:r>
              <w:rPr>
                <w:rFonts w:hint="eastAsia" w:ascii="宋体" w:hAnsi="宋体" w:cs="宋体"/>
                <w:color w:val="auto"/>
                <w:spacing w:val="0"/>
                <w:kern w:val="0"/>
                <w:position w:val="0"/>
                <w:sz w:val="21"/>
                <w:szCs w:val="21"/>
                <w:highlight w:val="none"/>
              </w:rPr>
              <w:t>分）</w:t>
            </w:r>
          </w:p>
        </w:tc>
        <w:tc>
          <w:tcPr>
            <w:tcW w:w="7884" w:type="dxa"/>
            <w:noWrap w:val="0"/>
            <w:vAlign w:val="center"/>
          </w:tcPr>
          <w:p w14:paraId="469BEA90">
            <w:pPr>
              <w:pStyle w:val="57"/>
              <w:keepNext w:val="0"/>
              <w:keepLines w:val="0"/>
              <w:pageBreakBefore w:val="0"/>
              <w:kinsoku/>
              <w:wordWrap/>
              <w:overflowPunct/>
              <w:topLinePunct w:val="0"/>
              <w:autoSpaceDE/>
              <w:autoSpaceDN/>
              <w:bidi w:val="0"/>
              <w:spacing w:line="440" w:lineRule="exact"/>
              <w:ind w:firstLine="0"/>
              <w:textAlignment w:val="auto"/>
              <w:rPr>
                <w:rFonts w:ascii="宋体" w:hAnsi="宋体" w:cs="宋体"/>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lang w:val="zh-CN"/>
              </w:rPr>
              <w:t>自202</w:t>
            </w:r>
            <w:r>
              <w:rPr>
                <w:rFonts w:hint="eastAsia" w:ascii="宋体" w:hAnsi="宋体" w:cs="宋体"/>
                <w:color w:val="auto"/>
                <w:spacing w:val="0"/>
                <w:kern w:val="0"/>
                <w:position w:val="0"/>
                <w:sz w:val="21"/>
                <w:szCs w:val="21"/>
                <w:highlight w:val="none"/>
                <w:lang w:val="en-US" w:eastAsia="zh-CN"/>
              </w:rPr>
              <w:t>2</w:t>
            </w:r>
            <w:r>
              <w:rPr>
                <w:rFonts w:hint="eastAsia" w:ascii="宋体" w:hAnsi="宋体" w:cs="宋体"/>
                <w:color w:val="auto"/>
                <w:spacing w:val="0"/>
                <w:kern w:val="0"/>
                <w:position w:val="0"/>
                <w:sz w:val="21"/>
                <w:szCs w:val="21"/>
                <w:highlight w:val="none"/>
                <w:lang w:val="zh-CN"/>
              </w:rPr>
              <w:t>年1月1日至开标截止时间前，投标供应商具有家具采购类或家具供货安装类业绩，每提供一份</w:t>
            </w:r>
            <w:r>
              <w:rPr>
                <w:rFonts w:hint="eastAsia" w:ascii="宋体" w:hAnsi="宋体" w:cs="宋体"/>
                <w:color w:val="auto"/>
                <w:spacing w:val="0"/>
                <w:kern w:val="0"/>
                <w:position w:val="0"/>
                <w:sz w:val="21"/>
                <w:szCs w:val="21"/>
                <w:highlight w:val="none"/>
                <w:lang w:val="en-US" w:eastAsia="zh-CN"/>
              </w:rPr>
              <w:t>对应</w:t>
            </w:r>
            <w:r>
              <w:rPr>
                <w:rFonts w:hint="eastAsia" w:ascii="宋体" w:hAnsi="宋体" w:cs="宋体"/>
                <w:color w:val="auto"/>
                <w:spacing w:val="0"/>
                <w:kern w:val="0"/>
                <w:position w:val="0"/>
                <w:sz w:val="21"/>
                <w:szCs w:val="21"/>
                <w:highlight w:val="none"/>
                <w:lang w:val="zh-CN"/>
              </w:rPr>
              <w:t>业绩的得</w:t>
            </w:r>
            <w:r>
              <w:rPr>
                <w:rFonts w:hint="eastAsia" w:ascii="宋体" w:hAnsi="宋体" w:cs="宋体"/>
                <w:color w:val="auto"/>
                <w:spacing w:val="0"/>
                <w:kern w:val="0"/>
                <w:position w:val="0"/>
                <w:sz w:val="21"/>
                <w:szCs w:val="21"/>
                <w:highlight w:val="none"/>
                <w:lang w:val="en-US" w:eastAsia="zh-CN"/>
              </w:rPr>
              <w:t>2.5</w:t>
            </w:r>
            <w:r>
              <w:rPr>
                <w:rFonts w:hint="eastAsia" w:ascii="宋体" w:hAnsi="宋体" w:cs="宋体"/>
                <w:color w:val="auto"/>
                <w:spacing w:val="0"/>
                <w:kern w:val="0"/>
                <w:position w:val="0"/>
                <w:sz w:val="21"/>
                <w:szCs w:val="21"/>
                <w:highlight w:val="none"/>
                <w:lang w:val="zh-CN"/>
              </w:rPr>
              <w:t>分，</w:t>
            </w:r>
            <w:r>
              <w:rPr>
                <w:rFonts w:hint="eastAsia" w:ascii="宋体" w:hAnsi="宋体" w:cs="宋体"/>
                <w:color w:val="auto"/>
                <w:spacing w:val="0"/>
                <w:kern w:val="0"/>
                <w:position w:val="0"/>
                <w:sz w:val="21"/>
                <w:szCs w:val="21"/>
                <w:highlight w:val="none"/>
                <w:lang w:val="en-US" w:eastAsia="zh-CN"/>
              </w:rPr>
              <w:t>本项</w:t>
            </w:r>
            <w:r>
              <w:rPr>
                <w:rFonts w:hint="eastAsia" w:ascii="宋体" w:hAnsi="宋体" w:cs="宋体"/>
                <w:color w:val="auto"/>
                <w:spacing w:val="0"/>
                <w:kern w:val="0"/>
                <w:position w:val="0"/>
                <w:sz w:val="21"/>
                <w:szCs w:val="21"/>
                <w:highlight w:val="none"/>
                <w:lang w:val="zh-CN"/>
              </w:rPr>
              <w:t>满分</w:t>
            </w:r>
            <w:r>
              <w:rPr>
                <w:rFonts w:hint="eastAsia" w:ascii="宋体" w:hAnsi="宋体" w:cs="宋体"/>
                <w:color w:val="auto"/>
                <w:spacing w:val="0"/>
                <w:kern w:val="0"/>
                <w:position w:val="0"/>
                <w:sz w:val="21"/>
                <w:szCs w:val="21"/>
                <w:highlight w:val="none"/>
                <w:lang w:val="en-US" w:eastAsia="zh-CN"/>
              </w:rPr>
              <w:t>5</w:t>
            </w:r>
            <w:r>
              <w:rPr>
                <w:rFonts w:hint="eastAsia" w:ascii="宋体" w:hAnsi="宋体" w:cs="宋体"/>
                <w:color w:val="auto"/>
                <w:spacing w:val="0"/>
                <w:kern w:val="0"/>
                <w:position w:val="0"/>
                <w:sz w:val="21"/>
                <w:szCs w:val="21"/>
                <w:highlight w:val="none"/>
                <w:lang w:val="zh-CN"/>
              </w:rPr>
              <w:t>分。</w:t>
            </w:r>
            <w:r>
              <w:rPr>
                <w:rFonts w:hint="eastAsia" w:ascii="宋体" w:hAnsi="宋体" w:cs="宋体"/>
                <w:color w:val="auto"/>
                <w:spacing w:val="0"/>
                <w:kern w:val="0"/>
                <w:position w:val="0"/>
                <w:sz w:val="21"/>
                <w:szCs w:val="21"/>
                <w:highlight w:val="none"/>
              </w:rPr>
              <w:br w:type="textWrapping"/>
            </w:r>
            <w:r>
              <w:rPr>
                <w:rFonts w:hint="eastAsia" w:ascii="宋体" w:hAnsi="宋体" w:cs="宋体"/>
                <w:b/>
                <w:bCs/>
                <w:color w:val="auto"/>
                <w:spacing w:val="0"/>
                <w:position w:val="0"/>
                <w:sz w:val="21"/>
                <w:szCs w:val="21"/>
                <w:highlight w:val="none"/>
              </w:rPr>
              <w:t>注：提供采购合同复印件加盖</w:t>
            </w:r>
            <w:r>
              <w:rPr>
                <w:rFonts w:hint="eastAsia" w:ascii="宋体" w:hAnsi="宋体" w:cs="宋体"/>
                <w:b/>
                <w:bCs/>
                <w:color w:val="auto"/>
                <w:spacing w:val="0"/>
                <w:position w:val="0"/>
                <w:sz w:val="21"/>
                <w:szCs w:val="21"/>
                <w:highlight w:val="none"/>
                <w:lang w:eastAsia="zh-CN"/>
              </w:rPr>
              <w:t>投标供应商</w:t>
            </w:r>
            <w:r>
              <w:rPr>
                <w:rFonts w:hint="eastAsia" w:ascii="宋体" w:hAnsi="宋体" w:cs="宋体"/>
                <w:b/>
                <w:bCs/>
                <w:color w:val="auto"/>
                <w:spacing w:val="0"/>
                <w:position w:val="0"/>
                <w:sz w:val="21"/>
                <w:szCs w:val="21"/>
                <w:highlight w:val="none"/>
              </w:rPr>
              <w:t>公章。业绩时间以合同签署日期为准，业绩类型以合同内容为准。如上述材料中无法反映出业绩类型的，</w:t>
            </w:r>
            <w:r>
              <w:rPr>
                <w:rFonts w:hint="eastAsia" w:ascii="宋体" w:hAnsi="宋体" w:cs="宋体"/>
                <w:b/>
                <w:bCs/>
                <w:color w:val="auto"/>
                <w:spacing w:val="0"/>
                <w:position w:val="0"/>
                <w:sz w:val="21"/>
                <w:szCs w:val="21"/>
                <w:highlight w:val="none"/>
                <w:lang w:eastAsia="zh-CN"/>
              </w:rPr>
              <w:t>投标供应商</w:t>
            </w:r>
            <w:r>
              <w:rPr>
                <w:rFonts w:hint="eastAsia" w:ascii="宋体" w:hAnsi="宋体" w:cs="宋体"/>
                <w:b/>
                <w:bCs/>
                <w:color w:val="auto"/>
                <w:spacing w:val="0"/>
                <w:position w:val="0"/>
                <w:sz w:val="21"/>
                <w:szCs w:val="21"/>
                <w:highlight w:val="none"/>
              </w:rPr>
              <w:t>还需提供项目业绩建设单位或部门出具的证明材料原件，并加盖项目</w:t>
            </w:r>
            <w:bookmarkStart w:id="137" w:name="_Hlk128643331"/>
            <w:r>
              <w:rPr>
                <w:rFonts w:hint="eastAsia" w:ascii="宋体" w:hAnsi="宋体" w:cs="宋体"/>
                <w:b/>
                <w:bCs/>
                <w:color w:val="auto"/>
                <w:spacing w:val="0"/>
                <w:position w:val="0"/>
                <w:sz w:val="21"/>
                <w:szCs w:val="21"/>
                <w:highlight w:val="none"/>
              </w:rPr>
              <w:t>业绩建设单位公章</w:t>
            </w:r>
            <w:bookmarkEnd w:id="137"/>
            <w:r>
              <w:rPr>
                <w:rFonts w:hint="eastAsia" w:ascii="宋体" w:hAnsi="宋体" w:cs="宋体"/>
                <w:b/>
                <w:bCs/>
                <w:color w:val="auto"/>
                <w:spacing w:val="0"/>
                <w:position w:val="0"/>
                <w:sz w:val="21"/>
                <w:szCs w:val="21"/>
                <w:highlight w:val="none"/>
              </w:rPr>
              <w:t>或部门公章。</w:t>
            </w:r>
          </w:p>
        </w:tc>
      </w:tr>
    </w:tbl>
    <w:p w14:paraId="1BD5E391">
      <w:pPr>
        <w:keepNext w:val="0"/>
        <w:keepLines w:val="0"/>
        <w:pageBreakBefore w:val="0"/>
        <w:kinsoku/>
        <w:wordWrap/>
        <w:overflowPunct/>
        <w:topLinePunct w:val="0"/>
        <w:autoSpaceDE/>
        <w:autoSpaceDN/>
        <w:bidi w:val="0"/>
        <w:spacing w:line="440" w:lineRule="exact"/>
        <w:ind w:firstLine="420" w:firstLineChars="200"/>
        <w:jc w:val="left"/>
        <w:textAlignment w:val="auto"/>
        <w:rPr>
          <w:rFonts w:ascii="宋体" w:hAnsi="宋体"/>
          <w:color w:val="auto"/>
          <w:spacing w:val="0"/>
          <w:position w:val="0"/>
          <w:sz w:val="21"/>
          <w:szCs w:val="21"/>
          <w:highlight w:val="none"/>
        </w:rPr>
      </w:pPr>
      <w:r>
        <w:rPr>
          <w:rFonts w:hint="eastAsia" w:ascii="宋体" w:hAnsi="宋体"/>
          <w:color w:val="auto"/>
          <w:spacing w:val="0"/>
          <w:position w:val="0"/>
          <w:sz w:val="21"/>
          <w:szCs w:val="21"/>
          <w:highlight w:val="none"/>
          <w:lang w:val="en-US" w:eastAsia="zh-CN"/>
        </w:rPr>
        <w:t>2.</w:t>
      </w:r>
      <w:r>
        <w:rPr>
          <w:rFonts w:hint="eastAsia" w:ascii="宋体" w:hAnsi="宋体"/>
          <w:color w:val="auto"/>
          <w:spacing w:val="0"/>
          <w:position w:val="0"/>
          <w:sz w:val="21"/>
          <w:szCs w:val="21"/>
          <w:highlight w:val="none"/>
        </w:rPr>
        <w:t>技术评审细则（</w:t>
      </w:r>
      <w:r>
        <w:rPr>
          <w:rFonts w:hint="eastAsia" w:ascii="宋体" w:hAnsi="宋体"/>
          <w:color w:val="auto"/>
          <w:spacing w:val="0"/>
          <w:position w:val="0"/>
          <w:sz w:val="21"/>
          <w:szCs w:val="21"/>
          <w:highlight w:val="none"/>
          <w:lang w:val="en-US" w:eastAsia="zh-CN"/>
        </w:rPr>
        <w:t>65</w:t>
      </w:r>
      <w:r>
        <w:rPr>
          <w:rFonts w:hint="eastAsia" w:ascii="宋体" w:hAnsi="宋体"/>
          <w:color w:val="auto"/>
          <w:spacing w:val="0"/>
          <w:position w:val="0"/>
          <w:sz w:val="21"/>
          <w:szCs w:val="21"/>
          <w:highlight w:val="none"/>
        </w:rPr>
        <w:t>分）</w:t>
      </w:r>
    </w:p>
    <w:tbl>
      <w:tblPr>
        <w:tblStyle w:val="26"/>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325"/>
        <w:gridCol w:w="8061"/>
      </w:tblGrid>
      <w:tr w14:paraId="7A8E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12" w:type="dxa"/>
            <w:noWrap w:val="0"/>
            <w:vAlign w:val="center"/>
          </w:tcPr>
          <w:p w14:paraId="185746F0">
            <w:pPr>
              <w:keepNext w:val="0"/>
              <w:keepLines w:val="0"/>
              <w:pageBreakBefore w:val="0"/>
              <w:kinsoku/>
              <w:wordWrap/>
              <w:overflowPunct/>
              <w:topLinePunct w:val="0"/>
              <w:autoSpaceDE/>
              <w:autoSpaceDN/>
              <w:bidi w:val="0"/>
              <w:spacing w:line="440" w:lineRule="exact"/>
              <w:jc w:val="center"/>
              <w:textAlignment w:val="auto"/>
              <w:rPr>
                <w:rFonts w:ascii="黑体" w:hAnsi="黑体" w:eastAsia="黑体" w:cs="黑体"/>
                <w:b/>
                <w:bCs/>
                <w:color w:val="auto"/>
                <w:spacing w:val="0"/>
                <w:position w:val="0"/>
                <w:sz w:val="21"/>
                <w:szCs w:val="21"/>
                <w:highlight w:val="none"/>
              </w:rPr>
            </w:pPr>
            <w:r>
              <w:rPr>
                <w:rFonts w:hint="eastAsia" w:ascii="黑体" w:hAnsi="黑体" w:eastAsia="黑体" w:cs="黑体"/>
                <w:b/>
                <w:bCs/>
                <w:color w:val="auto"/>
                <w:spacing w:val="0"/>
                <w:position w:val="0"/>
                <w:sz w:val="21"/>
                <w:szCs w:val="21"/>
                <w:highlight w:val="none"/>
              </w:rPr>
              <w:t>序号</w:t>
            </w:r>
          </w:p>
        </w:tc>
        <w:tc>
          <w:tcPr>
            <w:tcW w:w="1325" w:type="dxa"/>
            <w:noWrap w:val="0"/>
            <w:vAlign w:val="center"/>
          </w:tcPr>
          <w:p w14:paraId="794FE41D">
            <w:pPr>
              <w:keepNext w:val="0"/>
              <w:keepLines w:val="0"/>
              <w:pageBreakBefore w:val="0"/>
              <w:kinsoku/>
              <w:wordWrap/>
              <w:overflowPunct/>
              <w:topLinePunct w:val="0"/>
              <w:autoSpaceDE/>
              <w:autoSpaceDN/>
              <w:bidi w:val="0"/>
              <w:spacing w:line="440" w:lineRule="exact"/>
              <w:jc w:val="center"/>
              <w:textAlignment w:val="auto"/>
              <w:rPr>
                <w:rFonts w:ascii="黑体" w:hAnsi="黑体" w:eastAsia="黑体" w:cs="黑体"/>
                <w:b/>
                <w:bCs/>
                <w:color w:val="auto"/>
                <w:spacing w:val="0"/>
                <w:position w:val="0"/>
                <w:sz w:val="21"/>
                <w:szCs w:val="21"/>
                <w:highlight w:val="none"/>
              </w:rPr>
            </w:pPr>
            <w:r>
              <w:rPr>
                <w:rFonts w:hint="eastAsia" w:ascii="黑体" w:hAnsi="黑体" w:eastAsia="黑体" w:cs="黑体"/>
                <w:b/>
                <w:bCs/>
                <w:color w:val="auto"/>
                <w:spacing w:val="0"/>
                <w:position w:val="0"/>
                <w:sz w:val="21"/>
                <w:szCs w:val="21"/>
                <w:highlight w:val="none"/>
              </w:rPr>
              <w:t>评分因素</w:t>
            </w:r>
          </w:p>
        </w:tc>
        <w:tc>
          <w:tcPr>
            <w:tcW w:w="8061" w:type="dxa"/>
            <w:noWrap w:val="0"/>
            <w:vAlign w:val="center"/>
          </w:tcPr>
          <w:p w14:paraId="2B09EA7E">
            <w:pPr>
              <w:keepNext w:val="0"/>
              <w:keepLines w:val="0"/>
              <w:pageBreakBefore w:val="0"/>
              <w:kinsoku/>
              <w:wordWrap/>
              <w:overflowPunct/>
              <w:topLinePunct w:val="0"/>
              <w:autoSpaceDE/>
              <w:autoSpaceDN/>
              <w:bidi w:val="0"/>
              <w:spacing w:line="440" w:lineRule="exact"/>
              <w:ind w:firstLine="422" w:firstLineChars="200"/>
              <w:jc w:val="center"/>
              <w:textAlignment w:val="auto"/>
              <w:rPr>
                <w:rFonts w:ascii="黑体" w:hAnsi="黑体" w:eastAsia="黑体" w:cs="黑体"/>
                <w:b/>
                <w:bCs/>
                <w:color w:val="auto"/>
                <w:spacing w:val="0"/>
                <w:position w:val="0"/>
                <w:sz w:val="21"/>
                <w:szCs w:val="21"/>
                <w:highlight w:val="none"/>
              </w:rPr>
            </w:pPr>
            <w:r>
              <w:rPr>
                <w:rFonts w:hint="eastAsia" w:ascii="黑体" w:hAnsi="黑体" w:eastAsia="黑体" w:cs="黑体"/>
                <w:b/>
                <w:bCs/>
                <w:color w:val="auto"/>
                <w:spacing w:val="0"/>
                <w:position w:val="0"/>
                <w:sz w:val="21"/>
                <w:szCs w:val="21"/>
                <w:highlight w:val="none"/>
              </w:rPr>
              <w:t>评审细则</w:t>
            </w:r>
          </w:p>
        </w:tc>
      </w:tr>
      <w:tr w14:paraId="12BB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712" w:type="dxa"/>
            <w:noWrap w:val="0"/>
            <w:vAlign w:val="center"/>
          </w:tcPr>
          <w:p w14:paraId="54184FD4">
            <w:pPr>
              <w:pStyle w:val="23"/>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1</w:t>
            </w:r>
          </w:p>
        </w:tc>
        <w:tc>
          <w:tcPr>
            <w:tcW w:w="1325" w:type="dxa"/>
            <w:noWrap w:val="0"/>
            <w:vAlign w:val="center"/>
          </w:tcPr>
          <w:p w14:paraId="6CAA3E4E">
            <w:pPr>
              <w:keepNext w:val="0"/>
              <w:keepLines w:val="0"/>
              <w:pageBreakBefore w:val="0"/>
              <w:kinsoku/>
              <w:wordWrap/>
              <w:overflowPunct/>
              <w:topLinePunct w:val="0"/>
              <w:autoSpaceDE/>
              <w:autoSpaceDN/>
              <w:bidi w:val="0"/>
              <w:snapToGrid w:val="0"/>
              <w:spacing w:line="440" w:lineRule="exact"/>
              <w:ind w:firstLine="0" w:firstLineChars="0"/>
              <w:jc w:val="center"/>
              <w:textAlignment w:val="auto"/>
              <w:rPr>
                <w:rFonts w:hint="eastAsia" w:ascii="宋体" w:hAnsi="宋体" w:eastAsia="宋体" w:cs="宋体"/>
                <w:bCs/>
                <w:color w:val="auto"/>
                <w:spacing w:val="0"/>
                <w:position w:val="0"/>
                <w:sz w:val="21"/>
                <w:szCs w:val="21"/>
                <w:highlight w:val="none"/>
              </w:rPr>
            </w:pPr>
            <w:r>
              <w:rPr>
                <w:rFonts w:hint="eastAsia" w:ascii="宋体" w:hAnsi="宋体" w:eastAsia="宋体" w:cs="宋体"/>
                <w:bCs/>
                <w:color w:val="auto"/>
                <w:spacing w:val="0"/>
                <w:position w:val="0"/>
                <w:sz w:val="21"/>
                <w:szCs w:val="21"/>
                <w:highlight w:val="none"/>
              </w:rPr>
              <w:t>产品技术参数（</w:t>
            </w:r>
            <w:r>
              <w:rPr>
                <w:rFonts w:hint="eastAsia" w:ascii="宋体" w:hAnsi="宋体" w:cs="宋体"/>
                <w:bCs/>
                <w:color w:val="auto"/>
                <w:spacing w:val="0"/>
                <w:position w:val="0"/>
                <w:sz w:val="21"/>
                <w:szCs w:val="21"/>
                <w:highlight w:val="none"/>
                <w:lang w:val="en-US" w:eastAsia="zh-CN"/>
              </w:rPr>
              <w:t>45</w:t>
            </w:r>
            <w:r>
              <w:rPr>
                <w:rFonts w:hint="eastAsia" w:ascii="宋体" w:hAnsi="宋体" w:eastAsia="宋体" w:cs="宋体"/>
                <w:bCs/>
                <w:color w:val="auto"/>
                <w:spacing w:val="0"/>
                <w:position w:val="0"/>
                <w:sz w:val="21"/>
                <w:szCs w:val="21"/>
                <w:highlight w:val="none"/>
              </w:rPr>
              <w:t>分）</w:t>
            </w:r>
          </w:p>
        </w:tc>
        <w:tc>
          <w:tcPr>
            <w:tcW w:w="8061" w:type="dxa"/>
            <w:noWrap w:val="0"/>
            <w:vAlign w:val="center"/>
          </w:tcPr>
          <w:p w14:paraId="018C3017">
            <w:pPr>
              <w:keepNext w:val="0"/>
              <w:keepLines w:val="0"/>
              <w:pageBreakBefore w:val="0"/>
              <w:kinsoku/>
              <w:wordWrap/>
              <w:overflowPunct/>
              <w:topLinePunct w:val="0"/>
              <w:autoSpaceDE/>
              <w:autoSpaceDN/>
              <w:bidi w:val="0"/>
              <w:adjustRightInd/>
              <w:snapToGrid/>
              <w:spacing w:line="440" w:lineRule="exact"/>
              <w:ind w:firstLine="0" w:firstLineChars="0"/>
              <w:jc w:val="left"/>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根据所投产品对招标文件的技术参数及要求响应情况进行评分：</w:t>
            </w:r>
          </w:p>
          <w:p w14:paraId="1F5524CD">
            <w:pPr>
              <w:keepNext w:val="0"/>
              <w:keepLines w:val="0"/>
              <w:pageBreakBefore w:val="0"/>
              <w:numPr>
                <w:ilvl w:val="0"/>
                <w:numId w:val="1"/>
              </w:numPr>
              <w:kinsoku/>
              <w:wordWrap/>
              <w:overflowPunct/>
              <w:topLinePunct w:val="0"/>
              <w:autoSpaceDE/>
              <w:autoSpaceDN/>
              <w:bidi w:val="0"/>
              <w:adjustRightInd w:val="0"/>
              <w:snapToGrid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标注“★”</w:t>
            </w:r>
            <w:r>
              <w:rPr>
                <w:rFonts w:hint="eastAsia" w:ascii="宋体" w:hAnsi="宋体" w:eastAsia="宋体" w:cs="宋体"/>
                <w:color w:val="auto"/>
                <w:kern w:val="2"/>
                <w:sz w:val="21"/>
                <w:szCs w:val="21"/>
                <w:highlight w:val="none"/>
                <w:lang w:val="zh-CN" w:eastAsia="zh-CN" w:bidi="ar-SA"/>
              </w:rPr>
              <w:t>代表为关键性指标项，</w:t>
            </w:r>
            <w:r>
              <w:rPr>
                <w:rFonts w:hint="eastAsia" w:ascii="宋体" w:hAnsi="宋体" w:cs="宋体"/>
                <w:color w:val="auto"/>
                <w:kern w:val="2"/>
                <w:sz w:val="21"/>
                <w:szCs w:val="21"/>
                <w:highlight w:val="none"/>
                <w:lang w:val="zh-CN" w:eastAsia="zh-CN" w:bidi="ar-SA"/>
              </w:rPr>
              <w:t>为</w:t>
            </w:r>
            <w:r>
              <w:rPr>
                <w:rFonts w:hint="eastAsia" w:ascii="宋体" w:hAnsi="宋体" w:eastAsia="宋体" w:cs="宋体"/>
                <w:color w:val="auto"/>
                <w:kern w:val="2"/>
                <w:sz w:val="21"/>
                <w:szCs w:val="21"/>
                <w:highlight w:val="none"/>
                <w:lang w:val="zh-CN" w:eastAsia="zh-CN" w:bidi="ar-SA"/>
              </w:rPr>
              <w:t>必须响应参数，不得负偏离，否则投标无效；</w:t>
            </w:r>
          </w:p>
          <w:p w14:paraId="0F75B074">
            <w:pPr>
              <w:keepNext w:val="0"/>
              <w:keepLines w:val="0"/>
              <w:pageBreakBefore w:val="0"/>
              <w:numPr>
                <w:ilvl w:val="0"/>
                <w:numId w:val="1"/>
              </w:numPr>
              <w:kinsoku/>
              <w:wordWrap/>
              <w:overflowPunct/>
              <w:topLinePunct w:val="0"/>
              <w:autoSpaceDE/>
              <w:autoSpaceDN/>
              <w:bidi w:val="0"/>
              <w:adjustRightInd w:val="0"/>
              <w:snapToGrid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仿宋"/>
                <w:color w:val="auto"/>
                <w:kern w:val="0"/>
                <w:sz w:val="24"/>
                <w:highlight w:val="none"/>
                <w:lang w:bidi="ar"/>
              </w:rPr>
              <w:t>■</w:t>
            </w:r>
            <w:r>
              <w:rPr>
                <w:rFonts w:hint="eastAsia" w:ascii="宋体" w:hAnsi="宋体" w:eastAsia="宋体" w:cs="宋体"/>
                <w:color w:val="auto"/>
                <w:kern w:val="2"/>
                <w:sz w:val="21"/>
                <w:szCs w:val="21"/>
                <w:highlight w:val="none"/>
                <w:lang w:val="en-US" w:eastAsia="zh-CN" w:bidi="ar-SA"/>
              </w:rPr>
              <w:t>代表重要指标，每满足一项得</w:t>
            </w:r>
            <w:r>
              <w:rPr>
                <w:rFonts w:hint="eastAsia" w:ascii="宋体" w:hAnsi="宋体" w:cs="宋体"/>
                <w:color w:val="auto"/>
                <w:kern w:val="2"/>
                <w:sz w:val="21"/>
                <w:szCs w:val="21"/>
                <w:highlight w:val="none"/>
                <w:u w:val="single"/>
                <w:lang w:val="en-US" w:eastAsia="zh-CN" w:bidi="ar-SA"/>
              </w:rPr>
              <w:t>3.5</w:t>
            </w:r>
            <w:r>
              <w:rPr>
                <w:rFonts w:hint="eastAsia" w:ascii="宋体" w:hAnsi="宋体" w:eastAsia="宋体" w:cs="宋体"/>
                <w:color w:val="auto"/>
                <w:kern w:val="2"/>
                <w:sz w:val="21"/>
                <w:szCs w:val="21"/>
                <w:highlight w:val="none"/>
                <w:lang w:val="en-US" w:eastAsia="zh-CN" w:bidi="ar-SA"/>
              </w:rPr>
              <w:t>分，共</w:t>
            </w:r>
            <w:r>
              <w:rPr>
                <w:rFonts w:hint="eastAsia" w:ascii="宋体" w:hAnsi="宋体" w:cs="宋体"/>
                <w:color w:val="auto"/>
                <w:kern w:val="2"/>
                <w:sz w:val="21"/>
                <w:szCs w:val="21"/>
                <w:highlight w:val="none"/>
                <w:u w:val="single"/>
                <w:lang w:val="en-US" w:eastAsia="zh-CN" w:bidi="ar-SA"/>
              </w:rPr>
              <w:t>10</w:t>
            </w:r>
            <w:r>
              <w:rPr>
                <w:rFonts w:hint="eastAsia" w:ascii="宋体" w:hAnsi="宋体" w:eastAsia="宋体" w:cs="宋体"/>
                <w:color w:val="auto"/>
                <w:kern w:val="2"/>
                <w:sz w:val="21"/>
                <w:szCs w:val="21"/>
                <w:highlight w:val="none"/>
                <w:lang w:val="en-US" w:eastAsia="zh-CN" w:bidi="ar-SA"/>
              </w:rPr>
              <w:t>项，共计</w:t>
            </w:r>
            <w:r>
              <w:rPr>
                <w:rFonts w:hint="eastAsia" w:ascii="宋体" w:hAnsi="宋体" w:cs="宋体"/>
                <w:color w:val="auto"/>
                <w:kern w:val="2"/>
                <w:sz w:val="21"/>
                <w:szCs w:val="21"/>
                <w:highlight w:val="none"/>
                <w:u w:val="single"/>
                <w:lang w:val="en-US" w:eastAsia="zh-CN" w:bidi="ar-SA"/>
              </w:rPr>
              <w:t>35</w:t>
            </w:r>
            <w:r>
              <w:rPr>
                <w:rFonts w:hint="eastAsia" w:ascii="宋体" w:hAnsi="宋体" w:eastAsia="宋体" w:cs="宋体"/>
                <w:color w:val="auto"/>
                <w:kern w:val="2"/>
                <w:sz w:val="21"/>
                <w:szCs w:val="21"/>
                <w:highlight w:val="none"/>
                <w:lang w:val="en-US" w:eastAsia="zh-CN" w:bidi="ar-SA"/>
              </w:rPr>
              <w:t>分</w:t>
            </w:r>
            <w:r>
              <w:rPr>
                <w:rFonts w:hint="eastAsia" w:ascii="宋体" w:hAnsi="宋体" w:eastAsia="宋体" w:cs="宋体"/>
                <w:color w:val="auto"/>
                <w:kern w:val="2"/>
                <w:sz w:val="21"/>
                <w:szCs w:val="21"/>
                <w:highlight w:val="none"/>
                <w:lang w:val="zh-CN" w:eastAsia="zh-CN" w:bidi="ar-SA"/>
              </w:rPr>
              <w:t>；</w:t>
            </w:r>
          </w:p>
          <w:p w14:paraId="4F6DDED1">
            <w:pPr>
              <w:keepNext w:val="0"/>
              <w:keepLines w:val="0"/>
              <w:pageBreakBefore w:val="0"/>
              <w:numPr>
                <w:ilvl w:val="0"/>
                <w:numId w:val="1"/>
              </w:numPr>
              <w:kinsoku/>
              <w:wordWrap/>
              <w:overflowPunct/>
              <w:topLinePunct w:val="0"/>
              <w:autoSpaceDE/>
              <w:autoSpaceDN/>
              <w:bidi w:val="0"/>
              <w:adjustRightInd w:val="0"/>
              <w:snapToGrid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仿宋"/>
                <w:color w:val="auto"/>
                <w:kern w:val="0"/>
                <w:sz w:val="24"/>
                <w:highlight w:val="none"/>
                <w:lang w:bidi="ar"/>
              </w:rPr>
              <w:t>●</w:t>
            </w:r>
            <w:r>
              <w:rPr>
                <w:rFonts w:hint="eastAsia" w:ascii="宋体" w:hAnsi="宋体" w:eastAsia="宋体" w:cs="宋体"/>
                <w:color w:val="auto"/>
                <w:kern w:val="2"/>
                <w:sz w:val="21"/>
                <w:szCs w:val="21"/>
                <w:highlight w:val="none"/>
                <w:lang w:val="en-US" w:eastAsia="zh-CN" w:bidi="ar-SA"/>
              </w:rPr>
              <w:t>代表一般指标项</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每满足一项得</w:t>
            </w:r>
            <w:r>
              <w:rPr>
                <w:rFonts w:hint="eastAsia" w:ascii="宋体" w:hAnsi="宋体" w:cs="宋体"/>
                <w:color w:val="auto"/>
                <w:kern w:val="2"/>
                <w:sz w:val="21"/>
                <w:szCs w:val="21"/>
                <w:highlight w:val="none"/>
                <w:u w:val="single"/>
                <w:lang w:val="en-US" w:eastAsia="zh-CN" w:bidi="ar-SA"/>
              </w:rPr>
              <w:t>2</w:t>
            </w:r>
            <w:r>
              <w:rPr>
                <w:rFonts w:hint="eastAsia" w:ascii="宋体" w:hAnsi="宋体" w:eastAsia="宋体" w:cs="宋体"/>
                <w:color w:val="auto"/>
                <w:kern w:val="2"/>
                <w:sz w:val="21"/>
                <w:szCs w:val="21"/>
                <w:highlight w:val="none"/>
                <w:lang w:val="en-US" w:eastAsia="zh-CN" w:bidi="ar-SA"/>
              </w:rPr>
              <w:t>分，共</w:t>
            </w:r>
            <w:r>
              <w:rPr>
                <w:rFonts w:hint="eastAsia" w:ascii="宋体" w:hAnsi="宋体" w:cs="宋体"/>
                <w:color w:val="auto"/>
                <w:kern w:val="2"/>
                <w:sz w:val="21"/>
                <w:szCs w:val="21"/>
                <w:highlight w:val="none"/>
                <w:u w:val="single"/>
                <w:lang w:val="en-US" w:eastAsia="zh-CN" w:bidi="ar-SA"/>
              </w:rPr>
              <w:t>5</w:t>
            </w:r>
            <w:r>
              <w:rPr>
                <w:rFonts w:hint="eastAsia" w:ascii="宋体" w:hAnsi="宋体" w:eastAsia="宋体" w:cs="宋体"/>
                <w:color w:val="auto"/>
                <w:kern w:val="2"/>
                <w:sz w:val="21"/>
                <w:szCs w:val="21"/>
                <w:highlight w:val="none"/>
                <w:lang w:val="en-US" w:eastAsia="zh-CN" w:bidi="ar-SA"/>
              </w:rPr>
              <w:t>项，共计</w:t>
            </w:r>
            <w:r>
              <w:rPr>
                <w:rFonts w:hint="eastAsia" w:ascii="宋体" w:hAnsi="宋体" w:cs="宋体"/>
                <w:color w:val="auto"/>
                <w:kern w:val="2"/>
                <w:sz w:val="21"/>
                <w:szCs w:val="21"/>
                <w:highlight w:val="none"/>
                <w:u w:val="single"/>
                <w:lang w:val="en-US" w:eastAsia="zh-CN" w:bidi="ar-SA"/>
              </w:rPr>
              <w:t>10</w:t>
            </w:r>
            <w:r>
              <w:rPr>
                <w:rFonts w:hint="eastAsia" w:ascii="宋体" w:hAnsi="宋体" w:eastAsia="宋体" w:cs="宋体"/>
                <w:color w:val="auto"/>
                <w:kern w:val="2"/>
                <w:sz w:val="21"/>
                <w:szCs w:val="21"/>
                <w:highlight w:val="none"/>
                <w:lang w:val="en-US" w:eastAsia="zh-CN" w:bidi="ar-SA"/>
              </w:rPr>
              <w:t>分</w:t>
            </w:r>
            <w:r>
              <w:rPr>
                <w:rFonts w:hint="eastAsia" w:ascii="宋体" w:hAnsi="宋体" w:eastAsia="宋体" w:cs="宋体"/>
                <w:color w:val="auto"/>
                <w:kern w:val="2"/>
                <w:sz w:val="21"/>
                <w:szCs w:val="21"/>
                <w:highlight w:val="none"/>
                <w:lang w:val="zh-CN" w:eastAsia="zh-CN" w:bidi="ar-SA"/>
              </w:rPr>
              <w:t>；</w:t>
            </w:r>
          </w:p>
          <w:p w14:paraId="7050C98C">
            <w:pPr>
              <w:keepNext w:val="0"/>
              <w:keepLines w:val="0"/>
              <w:pageBreakBefore w:val="0"/>
              <w:numPr>
                <w:ilvl w:val="0"/>
                <w:numId w:val="1"/>
              </w:numPr>
              <w:kinsoku/>
              <w:wordWrap/>
              <w:overflowPunct/>
              <w:topLinePunct w:val="0"/>
              <w:autoSpaceDE/>
              <w:autoSpaceDN/>
              <w:bidi w:val="0"/>
              <w:adjustRightInd w:val="0"/>
              <w:snapToGrid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未标注“</w:t>
            </w:r>
            <w:r>
              <w:rPr>
                <w:rFonts w:hint="eastAsia" w:ascii="宋体" w:hAnsi="宋体" w:eastAsia="宋体" w:cs="仿宋"/>
                <w:color w:val="auto"/>
                <w:kern w:val="0"/>
                <w:sz w:val="24"/>
                <w:highlight w:val="none"/>
                <w:lang w:bidi="ar"/>
              </w:rPr>
              <w:t>■</w:t>
            </w:r>
            <w:r>
              <w:rPr>
                <w:rFonts w:hint="eastAsia" w:ascii="宋体" w:hAnsi="宋体" w:cs="仿宋"/>
                <w:color w:val="auto"/>
                <w:kern w:val="0"/>
                <w:sz w:val="24"/>
                <w:highlight w:val="none"/>
                <w:lang w:eastAsia="zh-CN" w:bidi="ar"/>
              </w:rPr>
              <w:t>、</w:t>
            </w:r>
            <w:r>
              <w:rPr>
                <w:rFonts w:hint="eastAsia" w:ascii="宋体" w:hAnsi="宋体" w:eastAsia="宋体" w:cs="仿宋"/>
                <w:color w:val="auto"/>
                <w:kern w:val="0"/>
                <w:sz w:val="24"/>
                <w:highlight w:val="none"/>
                <w:lang w:bidi="ar"/>
              </w:rPr>
              <w:t>●</w:t>
            </w:r>
            <w:r>
              <w:rPr>
                <w:rFonts w:hint="eastAsia" w:ascii="宋体" w:hAnsi="宋体" w:eastAsia="宋体" w:cs="宋体"/>
                <w:color w:val="auto"/>
                <w:spacing w:val="0"/>
                <w:position w:val="0"/>
                <w:sz w:val="21"/>
                <w:szCs w:val="21"/>
                <w:highlight w:val="none"/>
              </w:rPr>
              <w:t>”参数</w:t>
            </w:r>
            <w:r>
              <w:rPr>
                <w:rFonts w:hint="eastAsia" w:ascii="宋体" w:hAnsi="宋体" w:eastAsia="宋体" w:cs="宋体"/>
                <w:color w:val="auto"/>
                <w:spacing w:val="0"/>
                <w:position w:val="0"/>
                <w:sz w:val="21"/>
                <w:szCs w:val="21"/>
                <w:highlight w:val="none"/>
                <w:lang w:val="en-US" w:eastAsia="zh-CN"/>
              </w:rPr>
              <w:t>为本项目的基本需求</w:t>
            </w:r>
            <w:r>
              <w:rPr>
                <w:rFonts w:hint="eastAsia" w:ascii="宋体" w:hAnsi="宋体" w:eastAsia="宋体" w:cs="宋体"/>
                <w:color w:val="auto"/>
                <w:spacing w:val="0"/>
                <w:position w:val="0"/>
                <w:sz w:val="21"/>
                <w:szCs w:val="21"/>
                <w:highlight w:val="none"/>
              </w:rPr>
              <w:t>，</w:t>
            </w:r>
            <w:r>
              <w:rPr>
                <w:rFonts w:hint="eastAsia" w:ascii="宋体" w:hAnsi="宋体" w:cs="宋体"/>
                <w:color w:val="auto"/>
                <w:szCs w:val="21"/>
                <w:highlight w:val="none"/>
              </w:rPr>
              <w:t>最大允许偏离3项，超过最大允许偏离项数的，投标无效</w:t>
            </w:r>
            <w:r>
              <w:rPr>
                <w:rFonts w:hint="eastAsia" w:ascii="宋体" w:hAnsi="宋体"/>
                <w:color w:val="auto"/>
                <w:szCs w:val="21"/>
                <w:highlight w:val="none"/>
              </w:rPr>
              <w:t>。</w:t>
            </w:r>
          </w:p>
          <w:p w14:paraId="698CADEB">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宋体" w:hAnsi="宋体" w:eastAsia="宋体" w:cs="宋体"/>
                <w:b/>
                <w:bCs/>
                <w:color w:val="auto"/>
                <w:spacing w:val="0"/>
                <w:position w:val="0"/>
                <w:sz w:val="21"/>
                <w:szCs w:val="21"/>
                <w:highlight w:val="none"/>
              </w:rPr>
            </w:pPr>
            <w:r>
              <w:rPr>
                <w:rFonts w:hint="eastAsia" w:ascii="宋体" w:hAnsi="宋体" w:eastAsia="宋体" w:cs="宋体"/>
                <w:b/>
                <w:bCs/>
                <w:color w:val="auto"/>
                <w:spacing w:val="0"/>
                <w:position w:val="0"/>
                <w:sz w:val="21"/>
                <w:szCs w:val="21"/>
                <w:highlight w:val="none"/>
              </w:rPr>
              <w:t>注：</w:t>
            </w:r>
            <w:r>
              <w:rPr>
                <w:rFonts w:hint="eastAsia" w:ascii="宋体" w:hAnsi="宋体" w:eastAsia="宋体" w:cs="宋体"/>
                <w:b/>
                <w:bCs/>
                <w:color w:val="auto"/>
                <w:spacing w:val="0"/>
                <w:kern w:val="0"/>
                <w:position w:val="0"/>
                <w:sz w:val="21"/>
                <w:szCs w:val="21"/>
                <w:highlight w:val="none"/>
                <w:lang w:val="zh-CN" w:eastAsia="zh-CN"/>
              </w:rPr>
              <w:t>①</w:t>
            </w:r>
            <w:r>
              <w:rPr>
                <w:rFonts w:hint="eastAsia" w:ascii="宋体" w:hAnsi="宋体" w:eastAsia="宋体" w:cs="宋体"/>
                <w:b/>
                <w:bCs/>
                <w:color w:val="auto"/>
                <w:spacing w:val="0"/>
                <w:position w:val="0"/>
                <w:sz w:val="21"/>
                <w:szCs w:val="21"/>
                <w:highlight w:val="none"/>
              </w:rPr>
              <w:t>如某项标识中包含多条技术参数或要求，则该项标识所含内容均需满足或优于</w:t>
            </w:r>
            <w:r>
              <w:rPr>
                <w:rFonts w:hint="eastAsia" w:ascii="宋体" w:hAnsi="宋体" w:eastAsia="宋体" w:cs="宋体"/>
                <w:b/>
                <w:bCs/>
                <w:color w:val="auto"/>
                <w:spacing w:val="0"/>
                <w:position w:val="0"/>
                <w:sz w:val="21"/>
                <w:szCs w:val="21"/>
                <w:highlight w:val="none"/>
                <w:lang w:eastAsia="zh-CN"/>
              </w:rPr>
              <w:t>采购文件</w:t>
            </w:r>
            <w:r>
              <w:rPr>
                <w:rFonts w:hint="eastAsia" w:ascii="宋体" w:hAnsi="宋体" w:eastAsia="宋体" w:cs="宋体"/>
                <w:b/>
                <w:bCs/>
                <w:color w:val="auto"/>
                <w:spacing w:val="0"/>
                <w:position w:val="0"/>
                <w:sz w:val="21"/>
                <w:szCs w:val="21"/>
                <w:highlight w:val="none"/>
              </w:rPr>
              <w:t>要求，否则不予认可。</w:t>
            </w:r>
          </w:p>
          <w:p w14:paraId="3110333B">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宋体" w:hAnsi="宋体" w:eastAsia="宋体" w:cs="宋体"/>
                <w:bCs/>
                <w:color w:val="auto"/>
                <w:spacing w:val="0"/>
                <w:position w:val="0"/>
                <w:sz w:val="21"/>
                <w:szCs w:val="21"/>
                <w:highlight w:val="none"/>
              </w:rPr>
            </w:pPr>
            <w:r>
              <w:rPr>
                <w:rFonts w:hint="eastAsia" w:ascii="宋体" w:hAnsi="宋体" w:eastAsia="宋体" w:cs="宋体"/>
                <w:b/>
                <w:bCs/>
                <w:color w:val="auto"/>
                <w:spacing w:val="0"/>
                <w:kern w:val="0"/>
                <w:position w:val="0"/>
                <w:sz w:val="21"/>
                <w:szCs w:val="21"/>
                <w:highlight w:val="none"/>
                <w:lang w:val="zh-CN" w:eastAsia="zh-CN"/>
              </w:rPr>
              <w:t>②</w:t>
            </w:r>
            <w:r>
              <w:rPr>
                <w:rFonts w:hint="eastAsia" w:ascii="宋体" w:hAnsi="宋体" w:eastAsia="宋体" w:cs="宋体"/>
                <w:b/>
                <w:bCs/>
                <w:color w:val="auto"/>
                <w:spacing w:val="0"/>
                <w:position w:val="0"/>
                <w:sz w:val="21"/>
                <w:szCs w:val="21"/>
                <w:highlight w:val="none"/>
              </w:rPr>
              <w:t>以投标响应表和“货物需求表”中要求提供的证明材料作为评审依据。</w:t>
            </w:r>
          </w:p>
        </w:tc>
      </w:tr>
      <w:tr w14:paraId="5CFA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14:paraId="6D6FB4F2">
            <w:pPr>
              <w:pStyle w:val="57"/>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kern w:val="0"/>
                <w:position w:val="0"/>
                <w:sz w:val="21"/>
                <w:szCs w:val="21"/>
                <w:highlight w:val="none"/>
              </w:rPr>
              <w:t>2</w:t>
            </w:r>
          </w:p>
        </w:tc>
        <w:tc>
          <w:tcPr>
            <w:tcW w:w="1325" w:type="dxa"/>
            <w:noWrap w:val="0"/>
            <w:vAlign w:val="center"/>
          </w:tcPr>
          <w:p w14:paraId="1868381A">
            <w:pPr>
              <w:keepNext w:val="0"/>
              <w:keepLines w:val="0"/>
              <w:pageBreakBefore w:val="0"/>
              <w:kinsoku/>
              <w:wordWrap/>
              <w:overflowPunct/>
              <w:topLinePunct w:val="0"/>
              <w:autoSpaceDE/>
              <w:autoSpaceDN/>
              <w:bidi w:val="0"/>
              <w:snapToGrid w:val="0"/>
              <w:spacing w:line="440" w:lineRule="exact"/>
              <w:ind w:firstLine="0" w:firstLineChars="0"/>
              <w:jc w:val="center"/>
              <w:textAlignment w:val="auto"/>
              <w:rPr>
                <w:rFonts w:hint="eastAsia" w:ascii="宋体" w:hAnsi="宋体" w:cs="宋体"/>
                <w:color w:val="auto"/>
                <w:spacing w:val="0"/>
                <w:position w:val="0"/>
                <w:sz w:val="21"/>
                <w:szCs w:val="21"/>
                <w:highlight w:val="none"/>
                <w:lang w:val="en-US" w:eastAsia="zh-CN"/>
              </w:rPr>
            </w:pPr>
            <w:r>
              <w:rPr>
                <w:rFonts w:hint="eastAsia" w:ascii="宋体" w:hAnsi="宋体" w:cs="宋体"/>
                <w:color w:val="auto"/>
                <w:spacing w:val="0"/>
                <w:position w:val="0"/>
                <w:sz w:val="21"/>
                <w:szCs w:val="21"/>
                <w:highlight w:val="none"/>
                <w:lang w:val="en-US" w:eastAsia="zh-CN"/>
              </w:rPr>
              <w:t>供货方案</w:t>
            </w:r>
          </w:p>
          <w:p w14:paraId="7D24D865">
            <w:pPr>
              <w:keepNext w:val="0"/>
              <w:keepLines w:val="0"/>
              <w:pageBreakBefore w:val="0"/>
              <w:kinsoku/>
              <w:wordWrap/>
              <w:overflowPunct/>
              <w:topLinePunct w:val="0"/>
              <w:autoSpaceDE/>
              <w:autoSpaceDN/>
              <w:bidi w:val="0"/>
              <w:snapToGrid w:val="0"/>
              <w:spacing w:line="440" w:lineRule="exact"/>
              <w:ind w:firstLine="0" w:firstLineChars="0"/>
              <w:jc w:val="center"/>
              <w:textAlignment w:val="auto"/>
              <w:rPr>
                <w:rFonts w:hint="eastAsia" w:ascii="宋体" w:hAnsi="宋体" w:eastAsia="宋体" w:cs="宋体"/>
                <w:bCs/>
                <w:color w:val="auto"/>
                <w:spacing w:val="0"/>
                <w:position w:val="0"/>
                <w:sz w:val="21"/>
                <w:szCs w:val="21"/>
                <w:highlight w:val="none"/>
              </w:rPr>
            </w:pPr>
            <w:r>
              <w:rPr>
                <w:rFonts w:hint="eastAsia" w:ascii="宋体" w:hAnsi="宋体" w:eastAsia="宋体" w:cs="宋体"/>
                <w:bCs/>
                <w:color w:val="auto"/>
                <w:spacing w:val="0"/>
                <w:position w:val="0"/>
                <w:sz w:val="21"/>
                <w:szCs w:val="21"/>
                <w:highlight w:val="none"/>
              </w:rPr>
              <w:t>（</w:t>
            </w:r>
            <w:r>
              <w:rPr>
                <w:rFonts w:hint="eastAsia" w:ascii="宋体" w:hAnsi="宋体" w:cs="宋体"/>
                <w:bCs/>
                <w:color w:val="auto"/>
                <w:spacing w:val="0"/>
                <w:position w:val="0"/>
                <w:sz w:val="21"/>
                <w:szCs w:val="21"/>
                <w:highlight w:val="none"/>
                <w:lang w:val="en-US" w:eastAsia="zh-CN"/>
              </w:rPr>
              <w:t>7</w:t>
            </w:r>
            <w:r>
              <w:rPr>
                <w:rFonts w:hint="eastAsia" w:ascii="宋体" w:hAnsi="宋体" w:eastAsia="宋体" w:cs="宋体"/>
                <w:bCs/>
                <w:color w:val="auto"/>
                <w:spacing w:val="0"/>
                <w:position w:val="0"/>
                <w:sz w:val="21"/>
                <w:szCs w:val="21"/>
                <w:highlight w:val="none"/>
              </w:rPr>
              <w:t>分）</w:t>
            </w:r>
          </w:p>
        </w:tc>
        <w:tc>
          <w:tcPr>
            <w:tcW w:w="8061" w:type="dxa"/>
            <w:noWrap w:val="0"/>
            <w:vAlign w:val="center"/>
          </w:tcPr>
          <w:p w14:paraId="0BB51B8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宋体" w:hAnsi="宋体" w:eastAsia="宋体" w:cs="宋体"/>
                <w:bCs/>
                <w:color w:val="auto"/>
                <w:spacing w:val="0"/>
                <w:position w:val="0"/>
                <w:sz w:val="21"/>
                <w:szCs w:val="21"/>
                <w:highlight w:val="none"/>
              </w:rPr>
            </w:pPr>
            <w:r>
              <w:rPr>
                <w:rFonts w:hint="eastAsia" w:ascii="宋体" w:hAnsi="宋体" w:eastAsia="宋体" w:cs="宋体"/>
                <w:bCs/>
                <w:color w:val="auto"/>
                <w:spacing w:val="0"/>
                <w:position w:val="0"/>
                <w:sz w:val="21"/>
                <w:szCs w:val="21"/>
                <w:highlight w:val="none"/>
                <w:lang w:val="en-US" w:eastAsia="zh-CN"/>
              </w:rPr>
              <w:t>对各投标人针对本项目的供货方案，从家具选型及质量标准、供货计划、运输及仓储方案、维护培训方案及验收方案等方面进行综合评审：</w:t>
            </w:r>
          </w:p>
          <w:p w14:paraId="55AB2F0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宋体" w:hAnsi="宋体" w:eastAsia="宋体" w:cs="宋体"/>
                <w:bCs/>
                <w:color w:val="auto"/>
                <w:spacing w:val="0"/>
                <w:position w:val="0"/>
                <w:sz w:val="21"/>
                <w:szCs w:val="21"/>
                <w:highlight w:val="none"/>
              </w:rPr>
            </w:pPr>
            <w:r>
              <w:rPr>
                <w:rFonts w:hint="eastAsia" w:ascii="宋体" w:hAnsi="宋体" w:cs="宋体"/>
                <w:bCs/>
                <w:color w:val="auto"/>
                <w:spacing w:val="0"/>
                <w:position w:val="0"/>
                <w:sz w:val="21"/>
                <w:szCs w:val="21"/>
                <w:highlight w:val="none"/>
                <w:lang w:val="en-US" w:eastAsia="zh-CN"/>
              </w:rPr>
              <w:t>1.</w:t>
            </w:r>
            <w:r>
              <w:rPr>
                <w:rFonts w:hint="eastAsia" w:ascii="宋体" w:hAnsi="宋体" w:eastAsia="宋体" w:cs="宋体"/>
                <w:bCs/>
                <w:color w:val="auto"/>
                <w:spacing w:val="0"/>
                <w:position w:val="0"/>
                <w:sz w:val="21"/>
                <w:szCs w:val="21"/>
                <w:highlight w:val="none"/>
                <w:lang w:val="en-US" w:eastAsia="zh-CN"/>
              </w:rPr>
              <w:t>供货、验收等实施方案详尽，施工进度、质量、安全保证方案及措施和协同配合方案完整且符合项目实际情况的得</w:t>
            </w:r>
            <w:r>
              <w:rPr>
                <w:rFonts w:hint="eastAsia" w:ascii="宋体" w:hAnsi="宋体" w:cs="宋体"/>
                <w:bCs/>
                <w:color w:val="auto"/>
                <w:spacing w:val="0"/>
                <w:position w:val="0"/>
                <w:sz w:val="21"/>
                <w:szCs w:val="21"/>
                <w:highlight w:val="none"/>
                <w:lang w:val="en-US" w:eastAsia="zh-CN"/>
              </w:rPr>
              <w:t>7</w:t>
            </w:r>
            <w:r>
              <w:rPr>
                <w:rFonts w:hint="eastAsia" w:ascii="宋体" w:hAnsi="宋体" w:eastAsia="宋体" w:cs="宋体"/>
                <w:bCs/>
                <w:color w:val="auto"/>
                <w:spacing w:val="0"/>
                <w:position w:val="0"/>
                <w:sz w:val="21"/>
                <w:szCs w:val="21"/>
                <w:highlight w:val="none"/>
                <w:lang w:val="en-US" w:eastAsia="zh-CN"/>
              </w:rPr>
              <w:t>分；</w:t>
            </w:r>
          </w:p>
          <w:p w14:paraId="4E24ADE5">
            <w:pPr>
              <w:keepNext w:val="0"/>
              <w:keepLines w:val="0"/>
              <w:pageBreakBefore w:val="0"/>
              <w:widowControl/>
              <w:suppressLineNumbers w:val="0"/>
              <w:kinsoku/>
              <w:wordWrap/>
              <w:overflowPunct/>
              <w:topLinePunct w:val="0"/>
              <w:autoSpaceDE/>
              <w:autoSpaceDN/>
              <w:bidi w:val="0"/>
              <w:spacing w:line="440" w:lineRule="exact"/>
              <w:jc w:val="left"/>
              <w:textAlignment w:val="auto"/>
              <w:rPr>
                <w:color w:val="auto"/>
                <w:sz w:val="21"/>
                <w:szCs w:val="21"/>
                <w:highlight w:val="none"/>
              </w:rPr>
            </w:pPr>
            <w:r>
              <w:rPr>
                <w:rFonts w:hint="eastAsia" w:ascii="宋体" w:hAnsi="宋体" w:cs="宋体"/>
                <w:bCs/>
                <w:color w:val="auto"/>
                <w:spacing w:val="0"/>
                <w:position w:val="0"/>
                <w:sz w:val="21"/>
                <w:szCs w:val="21"/>
                <w:highlight w:val="none"/>
                <w:lang w:val="en-US" w:eastAsia="zh-CN"/>
              </w:rPr>
              <w:t>2.</w:t>
            </w:r>
            <w:r>
              <w:rPr>
                <w:rFonts w:hint="eastAsia" w:ascii="宋体" w:hAnsi="宋体" w:eastAsia="宋体" w:cs="宋体"/>
                <w:bCs/>
                <w:color w:val="auto"/>
                <w:spacing w:val="0"/>
                <w:position w:val="0"/>
                <w:sz w:val="21"/>
                <w:szCs w:val="21"/>
                <w:highlight w:val="none"/>
                <w:lang w:val="en-US" w:eastAsia="zh-CN"/>
              </w:rPr>
              <w:t>供货、验收等实施方案齐全，施工进度、质量、安全保证</w:t>
            </w:r>
            <w:r>
              <w:rPr>
                <w:rFonts w:hint="eastAsia" w:ascii="宋体" w:hAnsi="宋体" w:eastAsia="宋体" w:cs="宋体"/>
                <w:color w:val="auto"/>
                <w:kern w:val="0"/>
                <w:sz w:val="21"/>
                <w:szCs w:val="21"/>
                <w:highlight w:val="none"/>
                <w:lang w:val="en-US" w:eastAsia="zh-CN" w:bidi="ar"/>
              </w:rPr>
              <w:t>方案及措施和协同配合方案简单且符合实际情况的得</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分； </w:t>
            </w:r>
          </w:p>
          <w:p w14:paraId="03CA296C">
            <w:pPr>
              <w:keepNext w:val="0"/>
              <w:keepLines w:val="0"/>
              <w:pageBreakBefore w:val="0"/>
              <w:widowControl/>
              <w:suppressLineNumbers w:val="0"/>
              <w:kinsoku/>
              <w:wordWrap/>
              <w:overflowPunct/>
              <w:topLinePunct w:val="0"/>
              <w:autoSpaceDE/>
              <w:autoSpaceDN/>
              <w:bidi w:val="0"/>
              <w:spacing w:line="440" w:lineRule="exact"/>
              <w:jc w:val="left"/>
              <w:textAlignment w:val="auto"/>
              <w:rPr>
                <w:color w:val="auto"/>
                <w:sz w:val="21"/>
                <w:szCs w:val="21"/>
                <w:highlight w:val="none"/>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供货、验收内容简单，施工进度、质量、安全保证方案及措施和协同配合方案存在缺项，需要进一步完善的得</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分； </w:t>
            </w:r>
          </w:p>
          <w:p w14:paraId="4180E0E8">
            <w:pPr>
              <w:keepNext w:val="0"/>
              <w:keepLines w:val="0"/>
              <w:pageBreakBefore w:val="0"/>
              <w:widowControl/>
              <w:suppressLineNumbers w:val="0"/>
              <w:kinsoku/>
              <w:wordWrap/>
              <w:overflowPunct/>
              <w:topLinePunct w:val="0"/>
              <w:autoSpaceDE/>
              <w:autoSpaceDN/>
              <w:bidi w:val="0"/>
              <w:spacing w:line="440" w:lineRule="exact"/>
              <w:jc w:val="left"/>
              <w:textAlignment w:val="auto"/>
              <w:rPr>
                <w:rFonts w:hint="eastAsia" w:ascii="宋体" w:hAnsi="宋体" w:eastAsia="宋体" w:cs="宋体"/>
                <w:bCs/>
                <w:color w:val="auto"/>
                <w:spacing w:val="0"/>
                <w:position w:val="0"/>
                <w:sz w:val="21"/>
                <w:szCs w:val="21"/>
                <w:highlight w:val="none"/>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未提供的不得分。</w:t>
            </w:r>
          </w:p>
        </w:tc>
      </w:tr>
      <w:tr w14:paraId="3CC2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14:paraId="285F05D0">
            <w:pPr>
              <w:pStyle w:val="57"/>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color w:val="auto"/>
                <w:spacing w:val="0"/>
                <w:kern w:val="0"/>
                <w:position w:val="0"/>
                <w:sz w:val="21"/>
                <w:szCs w:val="21"/>
                <w:highlight w:val="none"/>
                <w:lang w:val="en-US" w:eastAsia="zh-CN"/>
              </w:rPr>
            </w:pPr>
            <w:r>
              <w:rPr>
                <w:rFonts w:hint="eastAsia" w:ascii="宋体" w:hAnsi="宋体" w:cs="宋体"/>
                <w:color w:val="auto"/>
                <w:spacing w:val="0"/>
                <w:kern w:val="0"/>
                <w:position w:val="0"/>
                <w:sz w:val="21"/>
                <w:szCs w:val="21"/>
                <w:highlight w:val="none"/>
                <w:lang w:val="en-US" w:eastAsia="zh-CN"/>
              </w:rPr>
              <w:t>3</w:t>
            </w:r>
          </w:p>
        </w:tc>
        <w:tc>
          <w:tcPr>
            <w:tcW w:w="1325" w:type="dxa"/>
            <w:noWrap w:val="0"/>
            <w:vAlign w:val="center"/>
          </w:tcPr>
          <w:p w14:paraId="4B46C50A">
            <w:pPr>
              <w:keepNext w:val="0"/>
              <w:keepLines w:val="0"/>
              <w:pageBreakBefore w:val="0"/>
              <w:kinsoku/>
              <w:wordWrap/>
              <w:overflowPunct/>
              <w:topLinePunct w:val="0"/>
              <w:autoSpaceDE/>
              <w:autoSpaceDN/>
              <w:bidi w:val="0"/>
              <w:snapToGrid w:val="0"/>
              <w:spacing w:line="440" w:lineRule="exact"/>
              <w:ind w:firstLine="0" w:firstLineChars="0"/>
              <w:jc w:val="center"/>
              <w:textAlignment w:val="auto"/>
              <w:rPr>
                <w:rFonts w:hint="default" w:ascii="宋体" w:hAnsi="宋体" w:cs="宋体"/>
                <w:color w:val="auto"/>
                <w:spacing w:val="0"/>
                <w:position w:val="0"/>
                <w:sz w:val="21"/>
                <w:szCs w:val="21"/>
                <w:highlight w:val="none"/>
                <w:lang w:val="en-US" w:eastAsia="zh-CN"/>
              </w:rPr>
            </w:pPr>
            <w:r>
              <w:rPr>
                <w:rFonts w:hint="eastAsia" w:ascii="宋体" w:hAnsi="宋体" w:cs="宋体"/>
                <w:color w:val="auto"/>
                <w:spacing w:val="0"/>
                <w:position w:val="0"/>
                <w:sz w:val="21"/>
                <w:szCs w:val="21"/>
                <w:highlight w:val="none"/>
                <w:lang w:val="en-US" w:eastAsia="zh-CN"/>
              </w:rPr>
              <w:t>安装调试方案（7分）</w:t>
            </w:r>
          </w:p>
        </w:tc>
        <w:tc>
          <w:tcPr>
            <w:tcW w:w="8061" w:type="dxa"/>
            <w:noWrap w:val="0"/>
            <w:vAlign w:val="center"/>
          </w:tcPr>
          <w:p w14:paraId="2981967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宋体" w:hAnsi="宋体" w:eastAsia="宋体" w:cs="宋体"/>
                <w:bCs/>
                <w:color w:val="auto"/>
                <w:spacing w:val="0"/>
                <w:position w:val="0"/>
                <w:sz w:val="21"/>
                <w:szCs w:val="21"/>
                <w:highlight w:val="none"/>
              </w:rPr>
            </w:pPr>
            <w:r>
              <w:rPr>
                <w:rFonts w:hint="eastAsia" w:ascii="宋体" w:hAnsi="宋体" w:eastAsia="宋体" w:cs="宋体"/>
                <w:bCs/>
                <w:color w:val="auto"/>
                <w:spacing w:val="0"/>
                <w:position w:val="0"/>
                <w:sz w:val="21"/>
                <w:szCs w:val="21"/>
                <w:highlight w:val="none"/>
                <w:lang w:val="en-US" w:eastAsia="zh-CN"/>
              </w:rPr>
              <w:t>对各投标人针对本项目的</w:t>
            </w:r>
            <w:r>
              <w:rPr>
                <w:rFonts w:hint="eastAsia" w:ascii="宋体" w:hAnsi="宋体" w:cs="宋体"/>
                <w:color w:val="auto"/>
                <w:spacing w:val="0"/>
                <w:position w:val="0"/>
                <w:sz w:val="21"/>
                <w:szCs w:val="21"/>
                <w:highlight w:val="none"/>
                <w:lang w:val="en-US" w:eastAsia="zh-CN"/>
              </w:rPr>
              <w:t>安装调试</w:t>
            </w:r>
            <w:r>
              <w:rPr>
                <w:rFonts w:hint="eastAsia" w:ascii="宋体" w:hAnsi="宋体" w:eastAsia="宋体" w:cs="宋体"/>
                <w:bCs/>
                <w:color w:val="auto"/>
                <w:spacing w:val="0"/>
                <w:position w:val="0"/>
                <w:sz w:val="21"/>
                <w:szCs w:val="21"/>
                <w:highlight w:val="none"/>
                <w:lang w:val="en-US" w:eastAsia="zh-CN"/>
              </w:rPr>
              <w:t>方案，从安装工艺及流程、调试方案、质量保证措施等方面进行综合评审：</w:t>
            </w:r>
          </w:p>
          <w:p w14:paraId="39E00D37">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宋体" w:hAnsi="宋体" w:eastAsia="宋体" w:cs="宋体"/>
                <w:bCs/>
                <w:color w:val="auto"/>
                <w:spacing w:val="0"/>
                <w:position w:val="0"/>
                <w:sz w:val="21"/>
                <w:szCs w:val="21"/>
                <w:highlight w:val="none"/>
              </w:rPr>
            </w:pPr>
            <w:r>
              <w:rPr>
                <w:rFonts w:hint="eastAsia" w:ascii="宋体" w:hAnsi="宋体" w:cs="宋体"/>
                <w:color w:val="auto"/>
                <w:spacing w:val="0"/>
                <w:position w:val="0"/>
                <w:sz w:val="21"/>
                <w:szCs w:val="21"/>
                <w:highlight w:val="none"/>
                <w:lang w:val="en-US" w:eastAsia="zh-CN"/>
              </w:rPr>
              <w:t>1.安装调试</w:t>
            </w:r>
            <w:r>
              <w:rPr>
                <w:rFonts w:hint="eastAsia" w:ascii="宋体" w:hAnsi="宋体" w:eastAsia="宋体" w:cs="宋体"/>
                <w:bCs/>
                <w:color w:val="auto"/>
                <w:spacing w:val="0"/>
                <w:position w:val="0"/>
                <w:sz w:val="21"/>
                <w:szCs w:val="21"/>
                <w:highlight w:val="none"/>
                <w:lang w:val="en-US" w:eastAsia="zh-CN"/>
              </w:rPr>
              <w:t>等方案详尽，安装工艺及流程、调试方案、质量保证措施方案完整且符合项目实际情况的得</w:t>
            </w:r>
            <w:r>
              <w:rPr>
                <w:rFonts w:hint="eastAsia" w:ascii="宋体" w:hAnsi="宋体" w:cs="宋体"/>
                <w:bCs/>
                <w:color w:val="auto"/>
                <w:spacing w:val="0"/>
                <w:position w:val="0"/>
                <w:sz w:val="21"/>
                <w:szCs w:val="21"/>
                <w:highlight w:val="none"/>
                <w:lang w:val="en-US" w:eastAsia="zh-CN"/>
              </w:rPr>
              <w:t>7</w:t>
            </w:r>
            <w:r>
              <w:rPr>
                <w:rFonts w:hint="eastAsia" w:ascii="宋体" w:hAnsi="宋体" w:eastAsia="宋体" w:cs="宋体"/>
                <w:bCs/>
                <w:color w:val="auto"/>
                <w:spacing w:val="0"/>
                <w:position w:val="0"/>
                <w:sz w:val="21"/>
                <w:szCs w:val="21"/>
                <w:highlight w:val="none"/>
                <w:lang w:val="en-US" w:eastAsia="zh-CN"/>
              </w:rPr>
              <w:t>分；</w:t>
            </w:r>
          </w:p>
          <w:p w14:paraId="188BF878">
            <w:pPr>
              <w:keepNext w:val="0"/>
              <w:keepLines w:val="0"/>
              <w:pageBreakBefore w:val="0"/>
              <w:widowControl/>
              <w:suppressLineNumbers w:val="0"/>
              <w:kinsoku/>
              <w:wordWrap/>
              <w:overflowPunct/>
              <w:topLinePunct w:val="0"/>
              <w:autoSpaceDE/>
              <w:autoSpaceDN/>
              <w:bidi w:val="0"/>
              <w:spacing w:line="440" w:lineRule="exact"/>
              <w:jc w:val="left"/>
              <w:textAlignment w:val="auto"/>
              <w:rPr>
                <w:color w:val="auto"/>
                <w:sz w:val="21"/>
                <w:szCs w:val="21"/>
                <w:highlight w:val="none"/>
              </w:rPr>
            </w:pPr>
            <w:r>
              <w:rPr>
                <w:rFonts w:hint="eastAsia" w:ascii="宋体" w:hAnsi="宋体" w:cs="宋体"/>
                <w:color w:val="auto"/>
                <w:spacing w:val="0"/>
                <w:position w:val="0"/>
                <w:sz w:val="21"/>
                <w:szCs w:val="21"/>
                <w:highlight w:val="none"/>
                <w:lang w:val="en-US" w:eastAsia="zh-CN"/>
              </w:rPr>
              <w:t>2.安装调试</w:t>
            </w:r>
            <w:r>
              <w:rPr>
                <w:rFonts w:hint="eastAsia" w:ascii="宋体" w:hAnsi="宋体" w:eastAsia="宋体" w:cs="宋体"/>
                <w:bCs/>
                <w:color w:val="auto"/>
                <w:spacing w:val="0"/>
                <w:position w:val="0"/>
                <w:sz w:val="21"/>
                <w:szCs w:val="21"/>
                <w:highlight w:val="none"/>
                <w:lang w:val="en-US" w:eastAsia="zh-CN"/>
              </w:rPr>
              <w:t>等方案齐全，安装工艺及流程、调试方案、质量保证措施</w:t>
            </w:r>
            <w:r>
              <w:rPr>
                <w:rFonts w:hint="eastAsia" w:ascii="宋体" w:hAnsi="宋体" w:eastAsia="宋体" w:cs="宋体"/>
                <w:color w:val="auto"/>
                <w:kern w:val="0"/>
                <w:sz w:val="21"/>
                <w:szCs w:val="21"/>
                <w:highlight w:val="none"/>
                <w:lang w:val="en-US" w:eastAsia="zh-CN" w:bidi="ar"/>
              </w:rPr>
              <w:t>方案简单且符合实际情况的得</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分； </w:t>
            </w:r>
          </w:p>
          <w:p w14:paraId="3BADCAF1">
            <w:pPr>
              <w:keepNext w:val="0"/>
              <w:keepLines w:val="0"/>
              <w:pageBreakBefore w:val="0"/>
              <w:widowControl/>
              <w:suppressLineNumbers w:val="0"/>
              <w:kinsoku/>
              <w:wordWrap/>
              <w:overflowPunct/>
              <w:topLinePunct w:val="0"/>
              <w:autoSpaceDE/>
              <w:autoSpaceDN/>
              <w:bidi w:val="0"/>
              <w:spacing w:line="440" w:lineRule="exact"/>
              <w:jc w:val="left"/>
              <w:textAlignment w:val="auto"/>
              <w:rPr>
                <w:color w:val="auto"/>
                <w:sz w:val="21"/>
                <w:szCs w:val="21"/>
                <w:highlight w:val="none"/>
              </w:rPr>
            </w:pPr>
            <w:r>
              <w:rPr>
                <w:rFonts w:hint="eastAsia" w:ascii="宋体" w:hAnsi="宋体" w:cs="宋体"/>
                <w:color w:val="auto"/>
                <w:spacing w:val="0"/>
                <w:position w:val="0"/>
                <w:sz w:val="21"/>
                <w:szCs w:val="21"/>
                <w:highlight w:val="none"/>
                <w:lang w:val="en-US" w:eastAsia="zh-CN"/>
              </w:rPr>
              <w:t>3.安装调试</w:t>
            </w:r>
            <w:r>
              <w:rPr>
                <w:rFonts w:hint="eastAsia" w:ascii="宋体" w:hAnsi="宋体" w:eastAsia="宋体" w:cs="宋体"/>
                <w:bCs/>
                <w:color w:val="auto"/>
                <w:spacing w:val="0"/>
                <w:position w:val="0"/>
                <w:sz w:val="21"/>
                <w:szCs w:val="21"/>
                <w:highlight w:val="none"/>
                <w:lang w:val="en-US" w:eastAsia="zh-CN"/>
              </w:rPr>
              <w:t>方案</w:t>
            </w:r>
            <w:r>
              <w:rPr>
                <w:rFonts w:hint="eastAsia" w:ascii="宋体" w:hAnsi="宋体" w:eastAsia="宋体" w:cs="宋体"/>
                <w:color w:val="auto"/>
                <w:kern w:val="0"/>
                <w:sz w:val="21"/>
                <w:szCs w:val="21"/>
                <w:highlight w:val="none"/>
                <w:lang w:val="en-US" w:eastAsia="zh-CN" w:bidi="ar"/>
              </w:rPr>
              <w:t>简单，</w:t>
            </w:r>
            <w:r>
              <w:rPr>
                <w:rFonts w:hint="eastAsia" w:ascii="宋体" w:hAnsi="宋体" w:eastAsia="宋体" w:cs="宋体"/>
                <w:bCs/>
                <w:color w:val="auto"/>
                <w:spacing w:val="0"/>
                <w:position w:val="0"/>
                <w:sz w:val="21"/>
                <w:szCs w:val="21"/>
                <w:highlight w:val="none"/>
                <w:lang w:val="en-US" w:eastAsia="zh-CN"/>
              </w:rPr>
              <w:t>安装工艺及流程、调试方案、质量保证措施</w:t>
            </w:r>
            <w:r>
              <w:rPr>
                <w:rFonts w:hint="eastAsia" w:ascii="宋体" w:hAnsi="宋体" w:eastAsia="宋体" w:cs="宋体"/>
                <w:color w:val="auto"/>
                <w:kern w:val="0"/>
                <w:sz w:val="21"/>
                <w:szCs w:val="21"/>
                <w:highlight w:val="none"/>
                <w:lang w:val="en-US" w:eastAsia="zh-CN" w:bidi="ar"/>
              </w:rPr>
              <w:t>方案存在缺项，需要进一步完善的得</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分； </w:t>
            </w:r>
          </w:p>
          <w:p w14:paraId="7E262174">
            <w:pPr>
              <w:keepNext w:val="0"/>
              <w:keepLines w:val="0"/>
              <w:pageBreakBefore w:val="0"/>
              <w:widowControl/>
              <w:suppressLineNumbers w:val="0"/>
              <w:kinsoku/>
              <w:wordWrap/>
              <w:overflowPunct/>
              <w:topLinePunct w:val="0"/>
              <w:autoSpaceDE/>
              <w:autoSpaceDN/>
              <w:bidi w:val="0"/>
              <w:spacing w:line="44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未提供的不得分。</w:t>
            </w:r>
          </w:p>
        </w:tc>
      </w:tr>
      <w:tr w14:paraId="4923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14:paraId="2BB284E6">
            <w:pPr>
              <w:pStyle w:val="57"/>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color w:val="auto"/>
                <w:spacing w:val="0"/>
                <w:kern w:val="0"/>
                <w:position w:val="0"/>
                <w:sz w:val="21"/>
                <w:szCs w:val="21"/>
                <w:highlight w:val="none"/>
                <w:lang w:val="en-US" w:eastAsia="zh-CN"/>
              </w:rPr>
              <w:t>4</w:t>
            </w:r>
          </w:p>
        </w:tc>
        <w:tc>
          <w:tcPr>
            <w:tcW w:w="1325" w:type="dxa"/>
            <w:noWrap w:val="0"/>
            <w:vAlign w:val="center"/>
          </w:tcPr>
          <w:p w14:paraId="41EDB11F">
            <w:pPr>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color w:val="auto"/>
                <w:spacing w:val="0"/>
                <w:position w:val="0"/>
                <w:sz w:val="21"/>
                <w:szCs w:val="21"/>
                <w:highlight w:val="none"/>
              </w:rPr>
            </w:pPr>
            <w:r>
              <w:rPr>
                <w:rFonts w:hint="eastAsia" w:ascii="宋体" w:hAnsi="宋体" w:eastAsia="宋体" w:cs="宋体"/>
                <w:iCs/>
                <w:color w:val="auto"/>
                <w:spacing w:val="0"/>
                <w:position w:val="0"/>
                <w:sz w:val="21"/>
                <w:szCs w:val="21"/>
                <w:highlight w:val="none"/>
                <w:lang w:val="en-US" w:eastAsia="zh-CN"/>
              </w:rPr>
              <w:t>售后服务方案</w:t>
            </w:r>
            <w:r>
              <w:rPr>
                <w:rFonts w:hint="eastAsia" w:ascii="宋体" w:hAnsi="宋体" w:eastAsia="宋体" w:cs="宋体"/>
                <w:iCs/>
                <w:color w:val="auto"/>
                <w:spacing w:val="0"/>
                <w:position w:val="0"/>
                <w:sz w:val="21"/>
                <w:szCs w:val="21"/>
                <w:highlight w:val="none"/>
              </w:rPr>
              <w:t>（</w:t>
            </w:r>
            <w:r>
              <w:rPr>
                <w:rFonts w:hint="eastAsia" w:ascii="宋体" w:hAnsi="宋体" w:cs="宋体"/>
                <w:iCs/>
                <w:color w:val="auto"/>
                <w:spacing w:val="0"/>
                <w:position w:val="0"/>
                <w:sz w:val="21"/>
                <w:szCs w:val="21"/>
                <w:highlight w:val="none"/>
                <w:lang w:val="en-US" w:eastAsia="zh-CN"/>
              </w:rPr>
              <w:t>6</w:t>
            </w:r>
            <w:r>
              <w:rPr>
                <w:rFonts w:hint="eastAsia" w:ascii="宋体" w:hAnsi="宋体" w:eastAsia="宋体" w:cs="宋体"/>
                <w:iCs/>
                <w:color w:val="auto"/>
                <w:spacing w:val="0"/>
                <w:position w:val="0"/>
                <w:sz w:val="21"/>
                <w:szCs w:val="21"/>
                <w:highlight w:val="none"/>
              </w:rPr>
              <w:t>分）</w:t>
            </w:r>
          </w:p>
        </w:tc>
        <w:tc>
          <w:tcPr>
            <w:tcW w:w="8061" w:type="dxa"/>
            <w:noWrap w:val="0"/>
            <w:vAlign w:val="center"/>
          </w:tcPr>
          <w:p w14:paraId="2FC44E6A">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eastAsia="宋体" w:cs="宋体"/>
                <w:color w:val="auto"/>
                <w:spacing w:val="0"/>
                <w:position w:val="0"/>
                <w:sz w:val="21"/>
                <w:szCs w:val="21"/>
                <w:highlight w:val="none"/>
                <w:lang w:val="en-US" w:eastAsia="zh-CN"/>
              </w:rPr>
              <w:t xml:space="preserve">根据投标人提供的完善的售后体系、售后人员配置、售后服务模块、线上线下售后维修模式、上门服务响应时间、故障排除时限、维护力量安排、人员培训、备件供应、维修维护方式、应急预案等，由评委会进行综合评审： </w:t>
            </w:r>
          </w:p>
          <w:p w14:paraId="06CF0161">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color w:val="auto"/>
                <w:spacing w:val="0"/>
                <w:position w:val="0"/>
                <w:sz w:val="21"/>
                <w:szCs w:val="21"/>
                <w:highlight w:val="none"/>
                <w:lang w:val="en-US" w:eastAsia="zh-CN"/>
              </w:rPr>
              <w:t>1.</w:t>
            </w:r>
            <w:r>
              <w:rPr>
                <w:rFonts w:hint="eastAsia" w:ascii="宋体" w:hAnsi="宋体" w:eastAsia="宋体" w:cs="宋体"/>
                <w:color w:val="auto"/>
                <w:spacing w:val="0"/>
                <w:position w:val="0"/>
                <w:sz w:val="21"/>
                <w:szCs w:val="21"/>
                <w:highlight w:val="none"/>
                <w:lang w:val="en-US" w:eastAsia="zh-CN"/>
              </w:rPr>
              <w:t>售后服务措施详尽、维修响应时间及时、备件供应保障充足、人员售后配置详细、远程报修服务方案全面、实时维修统计详尽，能保障采购人获得质量售后服务的得</w:t>
            </w:r>
            <w:r>
              <w:rPr>
                <w:rFonts w:hint="eastAsia" w:ascii="宋体" w:hAnsi="宋体" w:cs="宋体"/>
                <w:color w:val="auto"/>
                <w:spacing w:val="0"/>
                <w:position w:val="0"/>
                <w:sz w:val="21"/>
                <w:szCs w:val="21"/>
                <w:highlight w:val="none"/>
                <w:lang w:val="en-US" w:eastAsia="zh-CN"/>
              </w:rPr>
              <w:t>6</w:t>
            </w:r>
            <w:r>
              <w:rPr>
                <w:rFonts w:hint="eastAsia" w:ascii="宋体" w:hAnsi="宋体" w:eastAsia="宋体" w:cs="宋体"/>
                <w:color w:val="auto"/>
                <w:spacing w:val="0"/>
                <w:position w:val="0"/>
                <w:sz w:val="21"/>
                <w:szCs w:val="21"/>
                <w:highlight w:val="none"/>
                <w:lang w:val="en-US" w:eastAsia="zh-CN"/>
              </w:rPr>
              <w:t xml:space="preserve">分； </w:t>
            </w:r>
          </w:p>
          <w:p w14:paraId="0A9FD357">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color w:val="auto"/>
                <w:spacing w:val="0"/>
                <w:position w:val="0"/>
                <w:sz w:val="21"/>
                <w:szCs w:val="21"/>
                <w:highlight w:val="none"/>
                <w:lang w:val="en-US" w:eastAsia="zh-CN"/>
              </w:rPr>
              <w:t>2.</w:t>
            </w:r>
            <w:r>
              <w:rPr>
                <w:rFonts w:hint="eastAsia" w:ascii="宋体" w:hAnsi="宋体" w:eastAsia="宋体" w:cs="宋体"/>
                <w:color w:val="auto"/>
                <w:spacing w:val="0"/>
                <w:position w:val="0"/>
                <w:sz w:val="21"/>
                <w:szCs w:val="21"/>
                <w:highlight w:val="none"/>
                <w:lang w:val="en-US" w:eastAsia="zh-CN"/>
              </w:rPr>
              <w:t>售后服务措施完整、维修响应时间及时、具有备件供应保障措施、配置售后人员、具有远程报修服务的得</w:t>
            </w:r>
            <w:r>
              <w:rPr>
                <w:rFonts w:hint="eastAsia" w:ascii="宋体" w:hAnsi="宋体" w:cs="宋体"/>
                <w:color w:val="auto"/>
                <w:spacing w:val="0"/>
                <w:position w:val="0"/>
                <w:sz w:val="21"/>
                <w:szCs w:val="21"/>
                <w:highlight w:val="none"/>
                <w:lang w:val="en-US" w:eastAsia="zh-CN"/>
              </w:rPr>
              <w:t>5</w:t>
            </w:r>
            <w:r>
              <w:rPr>
                <w:rFonts w:hint="eastAsia" w:ascii="宋体" w:hAnsi="宋体" w:eastAsia="宋体" w:cs="宋体"/>
                <w:color w:val="auto"/>
                <w:spacing w:val="0"/>
                <w:position w:val="0"/>
                <w:sz w:val="21"/>
                <w:szCs w:val="21"/>
                <w:highlight w:val="none"/>
                <w:lang w:val="en-US" w:eastAsia="zh-CN"/>
              </w:rPr>
              <w:t xml:space="preserve">分； </w:t>
            </w:r>
          </w:p>
          <w:p w14:paraId="15C1C0E3">
            <w:pPr>
              <w:keepNext w:val="0"/>
              <w:keepLines w:val="0"/>
              <w:pageBreakBefore w:val="0"/>
              <w:kinsoku/>
              <w:wordWrap/>
              <w:overflowPunct/>
              <w:topLinePunct w:val="0"/>
              <w:autoSpaceDE/>
              <w:autoSpaceDN/>
              <w:bidi w:val="0"/>
              <w:spacing w:line="440" w:lineRule="exact"/>
              <w:ind w:firstLine="0" w:firstLineChars="0"/>
              <w:jc w:val="left"/>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color w:val="auto"/>
                <w:spacing w:val="0"/>
                <w:position w:val="0"/>
                <w:sz w:val="21"/>
                <w:szCs w:val="21"/>
                <w:highlight w:val="none"/>
                <w:lang w:val="en-US" w:eastAsia="zh-CN"/>
              </w:rPr>
              <w:t>3.</w:t>
            </w:r>
            <w:r>
              <w:rPr>
                <w:rFonts w:hint="eastAsia" w:ascii="宋体" w:hAnsi="宋体" w:eastAsia="宋体" w:cs="宋体"/>
                <w:color w:val="auto"/>
                <w:spacing w:val="0"/>
                <w:position w:val="0"/>
                <w:sz w:val="21"/>
                <w:szCs w:val="21"/>
                <w:highlight w:val="none"/>
                <w:lang w:val="en-US" w:eastAsia="zh-CN"/>
              </w:rPr>
              <w:t>售后服务措施、维修响应时间、备件供应保障、配置售后人员、远程报修服务措施不全或存在不足，有待改善的得</w:t>
            </w:r>
            <w:r>
              <w:rPr>
                <w:rFonts w:hint="eastAsia" w:ascii="宋体" w:hAnsi="宋体" w:cs="宋体"/>
                <w:color w:val="auto"/>
                <w:spacing w:val="0"/>
                <w:position w:val="0"/>
                <w:sz w:val="21"/>
                <w:szCs w:val="21"/>
                <w:highlight w:val="none"/>
                <w:lang w:val="en-US" w:eastAsia="zh-CN"/>
              </w:rPr>
              <w:t>4</w:t>
            </w:r>
            <w:r>
              <w:rPr>
                <w:rFonts w:hint="eastAsia" w:ascii="宋体" w:hAnsi="宋体" w:eastAsia="宋体" w:cs="宋体"/>
                <w:color w:val="auto"/>
                <w:spacing w:val="0"/>
                <w:position w:val="0"/>
                <w:sz w:val="21"/>
                <w:szCs w:val="21"/>
                <w:highlight w:val="none"/>
                <w:lang w:val="en-US" w:eastAsia="zh-CN"/>
              </w:rPr>
              <w:t>分；</w:t>
            </w:r>
          </w:p>
          <w:p w14:paraId="4527C036">
            <w:pPr>
              <w:keepNext w:val="0"/>
              <w:keepLines w:val="0"/>
              <w:pageBreakBefore w:val="0"/>
              <w:widowControl/>
              <w:suppressLineNumbers w:val="0"/>
              <w:kinsoku/>
              <w:wordWrap/>
              <w:overflowPunct/>
              <w:topLinePunct w:val="0"/>
              <w:autoSpaceDE/>
              <w:autoSpaceDN/>
              <w:bidi w:val="0"/>
              <w:spacing w:line="440" w:lineRule="exact"/>
              <w:jc w:val="left"/>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未提供的不得分。</w:t>
            </w:r>
          </w:p>
        </w:tc>
      </w:tr>
    </w:tbl>
    <w:p w14:paraId="6B517DBF">
      <w:pPr>
        <w:spacing w:line="440" w:lineRule="atLeast"/>
        <w:ind w:firstLine="420" w:firstLineChars="200"/>
        <w:jc w:val="left"/>
        <w:rPr>
          <w:rFonts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rPr>
        <w:t>注：该项由专家评委评审打分，以专家评委评分的算术平均值作为</w:t>
      </w:r>
      <w:r>
        <w:rPr>
          <w:rFonts w:hint="eastAsia" w:ascii="宋体" w:hAnsi="宋体" w:cs="宋体"/>
          <w:color w:val="auto"/>
          <w:spacing w:val="0"/>
          <w:position w:val="0"/>
          <w:sz w:val="21"/>
          <w:szCs w:val="21"/>
          <w:highlight w:val="none"/>
          <w:lang w:eastAsia="zh-CN"/>
        </w:rPr>
        <w:t>投标供应商</w:t>
      </w:r>
      <w:r>
        <w:rPr>
          <w:rFonts w:hint="eastAsia" w:ascii="宋体" w:hAnsi="宋体" w:cs="宋体"/>
          <w:color w:val="auto"/>
          <w:spacing w:val="0"/>
          <w:position w:val="0"/>
          <w:sz w:val="21"/>
          <w:szCs w:val="21"/>
          <w:highlight w:val="none"/>
        </w:rPr>
        <w:t>的技术最终得分。评分过程中，数据的计算过程和计算结果均保留两位小数点，第三位四舍五入。</w:t>
      </w:r>
    </w:p>
    <w:p w14:paraId="35447D4B">
      <w:pPr>
        <w:pStyle w:val="23"/>
        <w:keepNext/>
        <w:keepLines w:val="0"/>
        <w:pageBreakBefore w:val="0"/>
        <w:widowControl w:val="0"/>
        <w:kinsoku/>
        <w:overflowPunct/>
        <w:autoSpaceDE/>
        <w:autoSpaceDN/>
        <w:bidi w:val="0"/>
        <w:adjustRightInd/>
        <w:snapToGrid w:val="0"/>
        <w:spacing w:line="440" w:lineRule="atLeast"/>
        <w:ind w:firstLine="420" w:firstLineChars="200"/>
        <w:textAlignment w:val="auto"/>
        <w:outlineLvl w:val="2"/>
        <w:rPr>
          <w:bCs/>
          <w:color w:val="auto"/>
          <w:spacing w:val="0"/>
          <w:position w:val="0"/>
          <w:sz w:val="21"/>
          <w:szCs w:val="21"/>
          <w:highlight w:val="none"/>
        </w:rPr>
      </w:pPr>
      <w:r>
        <w:rPr>
          <w:rFonts w:hint="eastAsia"/>
          <w:bCs/>
          <w:color w:val="auto"/>
          <w:spacing w:val="0"/>
          <w:position w:val="0"/>
          <w:sz w:val="21"/>
          <w:szCs w:val="21"/>
          <w:highlight w:val="none"/>
          <w:lang w:val="en-US" w:eastAsia="zh-CN"/>
        </w:rPr>
        <w:t>3.</w:t>
      </w:r>
      <w:r>
        <w:rPr>
          <w:rFonts w:hint="eastAsia"/>
          <w:bCs/>
          <w:color w:val="auto"/>
          <w:spacing w:val="0"/>
          <w:position w:val="0"/>
          <w:sz w:val="21"/>
          <w:szCs w:val="21"/>
          <w:highlight w:val="none"/>
        </w:rPr>
        <w:t>商务标评审细则（</w:t>
      </w:r>
      <w:r>
        <w:rPr>
          <w:rFonts w:hint="eastAsia"/>
          <w:bCs/>
          <w:color w:val="auto"/>
          <w:spacing w:val="0"/>
          <w:position w:val="0"/>
          <w:sz w:val="21"/>
          <w:szCs w:val="21"/>
          <w:highlight w:val="none"/>
          <w:lang w:val="en-US" w:eastAsia="zh-CN"/>
        </w:rPr>
        <w:t>30</w:t>
      </w:r>
      <w:r>
        <w:rPr>
          <w:rFonts w:hint="eastAsia"/>
          <w:bCs/>
          <w:color w:val="auto"/>
          <w:spacing w:val="0"/>
          <w:position w:val="0"/>
          <w:sz w:val="21"/>
          <w:szCs w:val="21"/>
          <w:highlight w:val="none"/>
        </w:rPr>
        <w:t>分）</w:t>
      </w:r>
    </w:p>
    <w:tbl>
      <w:tblPr>
        <w:tblStyle w:val="26"/>
        <w:tblW w:w="9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261"/>
        <w:gridCol w:w="7629"/>
      </w:tblGrid>
      <w:tr w14:paraId="7797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020" w:type="dxa"/>
            <w:noWrap w:val="0"/>
            <w:vAlign w:val="center"/>
          </w:tcPr>
          <w:p w14:paraId="5C5A861F">
            <w:pPr>
              <w:spacing w:line="440" w:lineRule="atLeast"/>
              <w:jc w:val="center"/>
              <w:rPr>
                <w:rFonts w:hint="eastAsia" w:ascii="宋体" w:hAnsi="宋体" w:eastAsia="宋体" w:cs="宋体"/>
                <w:color w:val="auto"/>
                <w:spacing w:val="0"/>
                <w:position w:val="0"/>
                <w:sz w:val="21"/>
                <w:szCs w:val="21"/>
                <w:highlight w:val="none"/>
                <w:lang w:eastAsia="zh-CN"/>
              </w:rPr>
            </w:pPr>
            <w:r>
              <w:rPr>
                <w:rFonts w:hint="eastAsia" w:ascii="黑体" w:hAnsi="黑体" w:eastAsia="黑体" w:cs="黑体"/>
                <w:b/>
                <w:bCs/>
                <w:color w:val="auto"/>
                <w:spacing w:val="0"/>
                <w:position w:val="0"/>
                <w:sz w:val="21"/>
                <w:szCs w:val="21"/>
                <w:highlight w:val="none"/>
                <w:lang w:val="en-US" w:eastAsia="zh-CN"/>
              </w:rPr>
              <w:t>序号</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421C325C">
            <w:pPr>
              <w:spacing w:line="440" w:lineRule="atLeast"/>
              <w:jc w:val="center"/>
              <w:rPr>
                <w:rFonts w:hint="eastAsia" w:ascii="宋体" w:hAnsi="宋体" w:cs="宋体"/>
                <w:color w:val="auto"/>
                <w:spacing w:val="0"/>
                <w:position w:val="0"/>
                <w:sz w:val="21"/>
                <w:szCs w:val="21"/>
                <w:highlight w:val="none"/>
              </w:rPr>
            </w:pPr>
            <w:r>
              <w:rPr>
                <w:rFonts w:hint="eastAsia" w:ascii="黑体" w:hAnsi="黑体" w:eastAsia="黑体" w:cs="黑体"/>
                <w:b/>
                <w:bCs/>
                <w:color w:val="auto"/>
                <w:spacing w:val="0"/>
                <w:position w:val="0"/>
                <w:sz w:val="21"/>
                <w:szCs w:val="21"/>
                <w:highlight w:val="none"/>
              </w:rPr>
              <w:t>评分因素</w:t>
            </w:r>
          </w:p>
        </w:tc>
        <w:tc>
          <w:tcPr>
            <w:tcW w:w="7629" w:type="dxa"/>
            <w:tcBorders>
              <w:top w:val="single" w:color="auto" w:sz="4" w:space="0"/>
              <w:left w:val="single" w:color="auto" w:sz="4" w:space="0"/>
              <w:bottom w:val="single" w:color="auto" w:sz="4" w:space="0"/>
              <w:right w:val="single" w:color="auto" w:sz="4" w:space="0"/>
            </w:tcBorders>
            <w:noWrap w:val="0"/>
            <w:vAlign w:val="center"/>
          </w:tcPr>
          <w:p w14:paraId="4CB0F74E">
            <w:pPr>
              <w:spacing w:line="440" w:lineRule="atLeast"/>
              <w:ind w:firstLine="422" w:firstLineChars="200"/>
              <w:jc w:val="center"/>
              <w:rPr>
                <w:rFonts w:hint="eastAsia" w:ascii="黑体" w:hAnsi="黑体" w:eastAsia="黑体" w:cs="黑体"/>
                <w:b/>
                <w:bCs/>
                <w:color w:val="auto"/>
                <w:spacing w:val="0"/>
                <w:position w:val="0"/>
                <w:sz w:val="21"/>
                <w:szCs w:val="21"/>
                <w:highlight w:val="none"/>
              </w:rPr>
            </w:pPr>
            <w:r>
              <w:rPr>
                <w:rFonts w:hint="eastAsia" w:ascii="黑体" w:hAnsi="黑体" w:eastAsia="黑体" w:cs="黑体"/>
                <w:b/>
                <w:bCs/>
                <w:color w:val="auto"/>
                <w:spacing w:val="0"/>
                <w:position w:val="0"/>
                <w:sz w:val="21"/>
                <w:szCs w:val="21"/>
                <w:highlight w:val="none"/>
              </w:rPr>
              <w:t>评审细则</w:t>
            </w:r>
          </w:p>
        </w:tc>
      </w:tr>
      <w:tr w14:paraId="12AF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jc w:val="center"/>
        </w:trPr>
        <w:tc>
          <w:tcPr>
            <w:tcW w:w="1020" w:type="dxa"/>
            <w:noWrap w:val="0"/>
            <w:vAlign w:val="center"/>
          </w:tcPr>
          <w:p w14:paraId="4E60E1FD">
            <w:pPr>
              <w:keepNext/>
              <w:keepLines w:val="0"/>
              <w:pageBreakBefore w:val="0"/>
              <w:widowControl w:val="0"/>
              <w:kinsoku/>
              <w:wordWrap w:val="0"/>
              <w:overflowPunct/>
              <w:topLinePunct/>
              <w:autoSpaceDE/>
              <w:autoSpaceDN/>
              <w:bidi w:val="0"/>
              <w:adjustRightInd/>
              <w:spacing w:line="440" w:lineRule="atLeast"/>
              <w:jc w:val="center"/>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cs="宋体"/>
                <w:color w:val="auto"/>
                <w:spacing w:val="0"/>
                <w:position w:val="0"/>
                <w:sz w:val="21"/>
                <w:szCs w:val="21"/>
                <w:highlight w:val="none"/>
                <w:lang w:val="en-US" w:eastAsia="zh-CN"/>
              </w:rPr>
              <w:t>1</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0498298A">
            <w:pPr>
              <w:keepNext/>
              <w:keepLines w:val="0"/>
              <w:pageBreakBefore w:val="0"/>
              <w:widowControl w:val="0"/>
              <w:kinsoku/>
              <w:overflowPunct/>
              <w:topLinePunct/>
              <w:autoSpaceDE/>
              <w:autoSpaceDN/>
              <w:bidi w:val="0"/>
              <w:adjustRightInd/>
              <w:spacing w:line="440" w:lineRule="atLeast"/>
              <w:jc w:val="center"/>
              <w:textAlignment w:val="auto"/>
              <w:rPr>
                <w:rFonts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rPr>
              <w:t>商务分</w:t>
            </w:r>
          </w:p>
          <w:p w14:paraId="5DA3FFF9">
            <w:pPr>
              <w:keepNext/>
              <w:keepLines w:val="0"/>
              <w:pageBreakBefore w:val="0"/>
              <w:widowControl w:val="0"/>
              <w:kinsoku/>
              <w:wordWrap w:val="0"/>
              <w:overflowPunct/>
              <w:topLinePunct/>
              <w:autoSpaceDE/>
              <w:autoSpaceDN/>
              <w:bidi w:val="0"/>
              <w:adjustRightInd/>
              <w:spacing w:line="440" w:lineRule="atLeast"/>
              <w:jc w:val="center"/>
              <w:textAlignment w:val="auto"/>
              <w:rPr>
                <w:rFonts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rPr>
              <w:t>（</w:t>
            </w:r>
            <w:r>
              <w:rPr>
                <w:rFonts w:hint="eastAsia" w:ascii="宋体" w:hAnsi="宋体" w:cs="宋体"/>
                <w:color w:val="auto"/>
                <w:spacing w:val="0"/>
                <w:position w:val="0"/>
                <w:sz w:val="21"/>
                <w:szCs w:val="21"/>
                <w:highlight w:val="none"/>
                <w:lang w:val="en-US" w:eastAsia="zh-CN"/>
              </w:rPr>
              <w:t>30</w:t>
            </w:r>
            <w:r>
              <w:rPr>
                <w:rFonts w:hint="eastAsia" w:ascii="宋体" w:hAnsi="宋体" w:cs="宋体"/>
                <w:color w:val="auto"/>
                <w:spacing w:val="0"/>
                <w:position w:val="0"/>
                <w:sz w:val="21"/>
                <w:szCs w:val="21"/>
                <w:highlight w:val="none"/>
              </w:rPr>
              <w:t>分）</w:t>
            </w:r>
          </w:p>
        </w:tc>
        <w:tc>
          <w:tcPr>
            <w:tcW w:w="7629" w:type="dxa"/>
            <w:tcBorders>
              <w:top w:val="single" w:color="auto" w:sz="4" w:space="0"/>
              <w:left w:val="single" w:color="auto" w:sz="4" w:space="0"/>
              <w:bottom w:val="single" w:color="auto" w:sz="4" w:space="0"/>
              <w:right w:val="single" w:color="auto" w:sz="4" w:space="0"/>
            </w:tcBorders>
            <w:noWrap w:val="0"/>
            <w:vAlign w:val="center"/>
          </w:tcPr>
          <w:p w14:paraId="353283FF">
            <w:pPr>
              <w:keepNext/>
              <w:keepLines w:val="0"/>
              <w:pageBreakBefore w:val="0"/>
              <w:widowControl w:val="0"/>
              <w:kinsoku/>
              <w:wordWrap w:val="0"/>
              <w:overflowPunct/>
              <w:topLinePunct/>
              <w:autoSpaceDE/>
              <w:autoSpaceDN/>
              <w:bidi w:val="0"/>
              <w:adjustRightInd/>
              <w:spacing w:line="440" w:lineRule="atLeast"/>
              <w:jc w:val="left"/>
              <w:textAlignment w:val="auto"/>
              <w:rPr>
                <w:rFonts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lang w:eastAsia="zh-CN"/>
              </w:rPr>
              <w:t>采购人</w:t>
            </w:r>
            <w:r>
              <w:rPr>
                <w:rFonts w:hint="eastAsia" w:ascii="宋体" w:hAnsi="宋体" w:cs="宋体"/>
                <w:color w:val="auto"/>
                <w:spacing w:val="0"/>
                <w:position w:val="0"/>
                <w:sz w:val="21"/>
                <w:szCs w:val="21"/>
                <w:highlight w:val="none"/>
              </w:rPr>
              <w:t>设置投标报价最高限价，各</w:t>
            </w:r>
            <w:r>
              <w:rPr>
                <w:rFonts w:hint="eastAsia" w:ascii="宋体" w:hAnsi="宋体" w:cs="宋体"/>
                <w:color w:val="auto"/>
                <w:spacing w:val="0"/>
                <w:position w:val="0"/>
                <w:sz w:val="21"/>
                <w:szCs w:val="21"/>
                <w:highlight w:val="none"/>
                <w:lang w:eastAsia="zh-CN"/>
              </w:rPr>
              <w:t>投标供应商</w:t>
            </w:r>
            <w:r>
              <w:rPr>
                <w:rFonts w:hint="eastAsia" w:ascii="宋体" w:hAnsi="宋体" w:cs="宋体"/>
                <w:color w:val="auto"/>
                <w:spacing w:val="0"/>
                <w:position w:val="0"/>
                <w:sz w:val="21"/>
                <w:szCs w:val="21"/>
                <w:highlight w:val="none"/>
              </w:rPr>
              <w:t>有效报价不得高于最高限价，否则，其投标文件按无效标处理。</w:t>
            </w:r>
          </w:p>
          <w:p w14:paraId="3D72F3B2">
            <w:pPr>
              <w:keepNext/>
              <w:keepLines w:val="0"/>
              <w:pageBreakBefore w:val="0"/>
              <w:widowControl w:val="0"/>
              <w:kinsoku/>
              <w:wordWrap w:val="0"/>
              <w:overflowPunct/>
              <w:topLinePunct/>
              <w:autoSpaceDE/>
              <w:autoSpaceDN/>
              <w:bidi w:val="0"/>
              <w:adjustRightInd/>
              <w:spacing w:line="440" w:lineRule="atLeast"/>
              <w:jc w:val="left"/>
              <w:textAlignment w:val="auto"/>
              <w:rPr>
                <w:rFonts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rPr>
              <w:t>1、评标基准价=所有效</w:t>
            </w:r>
            <w:r>
              <w:rPr>
                <w:rFonts w:hint="eastAsia" w:ascii="宋体" w:hAnsi="宋体" w:cs="宋体"/>
                <w:color w:val="auto"/>
                <w:spacing w:val="0"/>
                <w:position w:val="0"/>
                <w:sz w:val="21"/>
                <w:szCs w:val="21"/>
                <w:highlight w:val="none"/>
                <w:lang w:eastAsia="zh-CN"/>
              </w:rPr>
              <w:t>投标供应商</w:t>
            </w:r>
            <w:r>
              <w:rPr>
                <w:rFonts w:hint="eastAsia" w:ascii="宋体" w:hAnsi="宋体" w:cs="宋体"/>
                <w:color w:val="auto"/>
                <w:spacing w:val="0"/>
                <w:position w:val="0"/>
                <w:sz w:val="21"/>
                <w:szCs w:val="21"/>
                <w:highlight w:val="none"/>
              </w:rPr>
              <w:t>的最低报价；其得分为满分；</w:t>
            </w:r>
          </w:p>
          <w:p w14:paraId="42FCB43C">
            <w:pPr>
              <w:keepNext/>
              <w:keepLines w:val="0"/>
              <w:pageBreakBefore w:val="0"/>
              <w:widowControl w:val="0"/>
              <w:kinsoku/>
              <w:wordWrap w:val="0"/>
              <w:overflowPunct/>
              <w:topLinePunct/>
              <w:autoSpaceDE/>
              <w:autoSpaceDN/>
              <w:bidi w:val="0"/>
              <w:adjustRightInd/>
              <w:spacing w:line="440" w:lineRule="atLeast"/>
              <w:jc w:val="left"/>
              <w:textAlignment w:val="auto"/>
              <w:rPr>
                <w:rFonts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rPr>
              <w:t>2、其它报价得分=评标基准价/投标报价*</w:t>
            </w:r>
            <w:r>
              <w:rPr>
                <w:rFonts w:hint="eastAsia" w:ascii="宋体" w:hAnsi="宋体" w:cs="宋体"/>
                <w:color w:val="auto"/>
                <w:spacing w:val="0"/>
                <w:position w:val="0"/>
                <w:sz w:val="21"/>
                <w:szCs w:val="21"/>
                <w:highlight w:val="none"/>
                <w:lang w:val="en-US" w:eastAsia="zh-CN"/>
              </w:rPr>
              <w:t>30</w:t>
            </w:r>
            <w:r>
              <w:rPr>
                <w:rFonts w:hint="eastAsia" w:ascii="宋体" w:hAnsi="宋体" w:cs="宋体"/>
                <w:color w:val="auto"/>
                <w:spacing w:val="0"/>
                <w:position w:val="0"/>
                <w:sz w:val="21"/>
                <w:szCs w:val="21"/>
                <w:highlight w:val="none"/>
              </w:rPr>
              <w:t>分，小数点后保留一位小数，第二位四舍五入；</w:t>
            </w:r>
          </w:p>
          <w:p w14:paraId="2F0FFF97">
            <w:pPr>
              <w:keepNext/>
              <w:keepLines w:val="0"/>
              <w:pageBreakBefore w:val="0"/>
              <w:widowControl w:val="0"/>
              <w:kinsoku/>
              <w:wordWrap w:val="0"/>
              <w:overflowPunct/>
              <w:topLinePunct/>
              <w:autoSpaceDE/>
              <w:autoSpaceDN/>
              <w:bidi w:val="0"/>
              <w:adjustRightInd/>
              <w:spacing w:line="440" w:lineRule="atLeast"/>
              <w:jc w:val="left"/>
              <w:textAlignment w:val="auto"/>
              <w:rPr>
                <w:rFonts w:hint="eastAsia" w:ascii="宋体" w:hAnsi="宋体" w:cs="宋体"/>
                <w:color w:val="auto"/>
                <w:spacing w:val="0"/>
                <w:position w:val="0"/>
                <w:sz w:val="21"/>
                <w:szCs w:val="21"/>
                <w:highlight w:val="none"/>
              </w:rPr>
            </w:pPr>
            <w:r>
              <w:rPr>
                <w:rFonts w:hint="eastAsia" w:ascii="宋体" w:hAnsi="宋体" w:cs="宋体"/>
                <w:color w:val="auto"/>
                <w:spacing w:val="0"/>
                <w:position w:val="0"/>
                <w:sz w:val="21"/>
                <w:szCs w:val="21"/>
                <w:highlight w:val="none"/>
              </w:rPr>
              <w:t>3、本项分值由评标委员会负责组织计算。</w:t>
            </w:r>
          </w:p>
        </w:tc>
      </w:tr>
    </w:tbl>
    <w:p w14:paraId="3459B457">
      <w:pPr>
        <w:widowControl/>
        <w:spacing w:before="162" w:beforeLines="50" w:after="162" w:afterLines="50" w:line="440" w:lineRule="exact"/>
        <w:jc w:val="center"/>
        <w:outlineLvl w:val="4"/>
        <w:rPr>
          <w:rFonts w:ascii="黑体" w:hAnsi="黑体" w:eastAsia="黑体" w:cs="黑体"/>
          <w:b/>
          <w:color w:val="auto"/>
          <w:sz w:val="28"/>
          <w:szCs w:val="28"/>
          <w:highlight w:val="none"/>
        </w:rPr>
      </w:pPr>
      <w:r>
        <w:rPr>
          <w:rFonts w:hint="eastAsia" w:ascii="黑体" w:hAnsi="黑体" w:eastAsia="黑体" w:cs="黑体"/>
          <w:b/>
          <w:color w:val="auto"/>
          <w:sz w:val="28"/>
          <w:szCs w:val="28"/>
          <w:highlight w:val="none"/>
        </w:rPr>
        <w:t>五  推荐中标候选人</w:t>
      </w:r>
      <w:bookmarkEnd w:id="133"/>
      <w:bookmarkEnd w:id="134"/>
      <w:bookmarkEnd w:id="135"/>
      <w:bookmarkEnd w:id="136"/>
    </w:p>
    <w:bookmarkEnd w:id="116"/>
    <w:p w14:paraId="70682FC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7.评标委员会按资信、技术和商务得分之和，从高到低按顺序，推荐3名中标候选人。</w:t>
      </w:r>
    </w:p>
    <w:p w14:paraId="67FD5AF3">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7.1总得分相同的，按投标报价由低到高顺序排列。总得分相同且报价也相同并列的，由采购人现场采取随机摇号的方式确定中标候选人。</w:t>
      </w:r>
    </w:p>
    <w:p w14:paraId="7D971A1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8.投标供应商有下列情形之一的，资格审查后其投标作无效投标处理：</w:t>
      </w:r>
    </w:p>
    <w:p w14:paraId="28D0707F">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（1）投标供应商为本项目提供招标代理服务的；</w:t>
      </w:r>
    </w:p>
    <w:p w14:paraId="5F787C18">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（2）投标供应商与在本项目代理机构存在相互任职或工作的；</w:t>
      </w:r>
    </w:p>
    <w:p w14:paraId="2C3D9B42">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（3）评标专家无法查看投标文件中相关资料的；</w:t>
      </w:r>
    </w:p>
    <w:p w14:paraId="5279F417">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（4）投标供应商超出营业范围投标的；</w:t>
      </w:r>
    </w:p>
    <w:p w14:paraId="2B95EA47">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（5）被暂停营业的；</w:t>
      </w:r>
    </w:p>
    <w:p w14:paraId="31496A0E">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（6）暂停或取消投标资格的；</w:t>
      </w:r>
    </w:p>
    <w:p w14:paraId="687660C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（7）财产被接管或冻结的；</w:t>
      </w:r>
    </w:p>
    <w:p w14:paraId="206B3C8F">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（8）投标供应商单位负责人为同一人或者存在控股、管理关系的不同单位的；</w:t>
      </w:r>
    </w:p>
    <w:p w14:paraId="4CFF0F5E">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（9）投标供应商基本资格条件和特定资格条件中有一项及以上不符合要求的；</w:t>
      </w:r>
    </w:p>
    <w:p w14:paraId="6FFD65AF">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8.1投标供应商有下列情形之一的，符合性审查后其投标按无效投标处理：</w:t>
      </w:r>
    </w:p>
    <w:p w14:paraId="6732D0ED">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（1）投标文件签字、盖章不全，经评标委员会一致认定对开评标内容有实质性影响的；</w:t>
      </w:r>
    </w:p>
    <w:p w14:paraId="2385F2BC">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（2）未按规定的格式填写导致实质性内容不全以及实质上不响应，或者关键字迹模糊、无法辨认； 经评审小组核准的；</w:t>
      </w:r>
    </w:p>
    <w:p w14:paraId="64BDD995">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（3）投标文件没有对采购文件的实质性要求和条件作出响应；</w:t>
      </w:r>
    </w:p>
    <w:p w14:paraId="6251075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（4）投标报价超出规定的投标限价或公布的采购预算的；</w:t>
      </w:r>
    </w:p>
    <w:p w14:paraId="59926E43">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（5）不按评标委员会要求澄清、说明或补正的，或者评标委员会根据采购文件的规定对采购文件的计算错误进行修正后，投标供应商不接受修正的投标报价的。</w:t>
      </w:r>
    </w:p>
    <w:p w14:paraId="619CF740">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（6）投标文件含有采购人不能接受的附加条件的；</w:t>
      </w:r>
    </w:p>
    <w:p w14:paraId="5DC63634">
      <w:pPr>
        <w:tabs>
          <w:tab w:val="left" w:pos="1123"/>
        </w:tabs>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（7）采购文件规定的其他无效投标情形。</w:t>
      </w:r>
    </w:p>
    <w:p w14:paraId="181A4E92">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8.2 投标供应商有下列情形之一的， 详细评审后其投标按无效投标处理：</w:t>
      </w:r>
    </w:p>
    <w:p w14:paraId="4444FD2C">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（1）投标产品不符合必须强制执行的国家标准的；</w:t>
      </w:r>
    </w:p>
    <w:p w14:paraId="25B15B6D">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（2）投标供应商有串通投标、弄虚作假、行贿等违法行为；</w:t>
      </w:r>
    </w:p>
    <w:p w14:paraId="200D214B">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（3）投标文件含有违反国家法律法规的内容，或附有采购人不能接受的条件的；</w:t>
      </w:r>
    </w:p>
    <w:p w14:paraId="32C2F2A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（4）在同一项目（或同一标段）中有多个投标供应商有效投标报价接近最高限价，且评标委员会认为报价出现异常的，可以宣布其投标无效；</w:t>
      </w:r>
    </w:p>
    <w:p w14:paraId="7BE45B57">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（5）报价明显低于其他投标供应商，且不能证明报价合理性的投标无效；</w:t>
      </w:r>
    </w:p>
    <w:p w14:paraId="029114EA">
      <w:pPr>
        <w:spacing w:line="440" w:lineRule="exact"/>
        <w:ind w:firstLine="420" w:firstLineChars="200"/>
        <w:jc w:val="left"/>
        <w:outlineLvl w:val="4"/>
        <w:rPr>
          <w:color w:val="auto"/>
          <w:highlight w:val="none"/>
        </w:rPr>
      </w:pPr>
      <w:r>
        <w:rPr>
          <w:rFonts w:hint="eastAsia" w:ascii="宋体" w:hAnsi="宋体" w:cs="宋体"/>
          <w:color w:val="auto"/>
          <w:szCs w:val="21"/>
          <w:highlight w:val="none"/>
        </w:rPr>
        <w:t>（6）拒不确认评标委员会评审修正的投标无效；</w:t>
      </w:r>
    </w:p>
    <w:p w14:paraId="0A39987A">
      <w:pPr>
        <w:keepNext/>
        <w:pageBreakBefore/>
        <w:spacing w:before="162" w:beforeLines="50" w:after="162" w:afterLines="50" w:line="440" w:lineRule="exact"/>
        <w:jc w:val="center"/>
        <w:rPr>
          <w:rFonts w:ascii="宋体" w:hAnsi="宋体" w:cs="宋体"/>
          <w:b/>
          <w:color w:val="auto"/>
          <w:sz w:val="32"/>
          <w:szCs w:val="32"/>
          <w:highlight w:val="none"/>
        </w:rPr>
        <w:sectPr>
          <w:footerReference r:id="rId8" w:type="first"/>
          <w:footerReference r:id="rId7" w:type="default"/>
          <w:pgSz w:w="11906" w:h="16838"/>
          <w:pgMar w:top="1134" w:right="1417" w:bottom="1134" w:left="1417" w:header="850" w:footer="992" w:gutter="0"/>
          <w:pgNumType w:fmt="decimal"/>
          <w:cols w:space="720" w:num="1"/>
          <w:docGrid w:type="lines" w:linePitch="324" w:charSpace="0"/>
        </w:sectPr>
      </w:pPr>
      <w:bookmarkStart w:id="138" w:name="_Toc27595"/>
    </w:p>
    <w:p w14:paraId="5762C3D7">
      <w:pPr>
        <w:pStyle w:val="22"/>
        <w:keepNext/>
        <w:keepLines w:val="0"/>
        <w:pageBreakBefore w:val="0"/>
        <w:widowControl w:val="0"/>
        <w:numPr>
          <w:ilvl w:val="0"/>
          <w:numId w:val="2"/>
        </w:numPr>
        <w:kinsoku/>
        <w:wordWrap/>
        <w:overflowPunct/>
        <w:topLinePunct w:val="0"/>
        <w:autoSpaceDE/>
        <w:autoSpaceDN/>
        <w:bidi w:val="0"/>
        <w:adjustRightInd/>
        <w:snapToGrid/>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 </w:t>
      </w:r>
      <w:bookmarkEnd w:id="138"/>
      <w:r>
        <w:rPr>
          <w:rFonts w:hint="eastAsia" w:ascii="宋体" w:hAnsi="宋体" w:cs="宋体"/>
          <w:b/>
          <w:color w:val="auto"/>
          <w:sz w:val="32"/>
          <w:szCs w:val="32"/>
          <w:highlight w:val="none"/>
        </w:rPr>
        <w:t>采购需求及技术参数要求</w:t>
      </w:r>
    </w:p>
    <w:tbl>
      <w:tblPr>
        <w:tblStyle w:val="26"/>
        <w:tblpPr w:leftFromText="180" w:rightFromText="180" w:vertAnchor="text" w:horzAnchor="margin" w:tblpY="280"/>
        <w:tblW w:w="150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7"/>
        <w:gridCol w:w="1113"/>
        <w:gridCol w:w="7387"/>
        <w:gridCol w:w="675"/>
        <w:gridCol w:w="700"/>
        <w:gridCol w:w="4488"/>
      </w:tblGrid>
      <w:tr w14:paraId="799AC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687" w:type="dxa"/>
            <w:tcBorders>
              <w:tl2br w:val="nil"/>
              <w:tr2bl w:val="nil"/>
            </w:tcBorders>
            <w:shd w:val="clear" w:color="auto" w:fill="auto"/>
            <w:noWrap/>
            <w:vAlign w:val="center"/>
          </w:tcPr>
          <w:p w14:paraId="4C307CC2">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113" w:type="dxa"/>
            <w:tcBorders>
              <w:tl2br w:val="nil"/>
              <w:tr2bl w:val="nil"/>
            </w:tcBorders>
            <w:shd w:val="clear" w:color="auto" w:fill="auto"/>
            <w:noWrap/>
            <w:vAlign w:val="center"/>
          </w:tcPr>
          <w:p w14:paraId="4D348A28">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设备名称</w:t>
            </w:r>
          </w:p>
        </w:tc>
        <w:tc>
          <w:tcPr>
            <w:tcW w:w="7387" w:type="dxa"/>
            <w:tcBorders>
              <w:tl2br w:val="nil"/>
              <w:tr2bl w:val="nil"/>
            </w:tcBorders>
            <w:shd w:val="clear" w:color="auto" w:fill="auto"/>
            <w:noWrap/>
            <w:vAlign w:val="center"/>
          </w:tcPr>
          <w:p w14:paraId="4AC1133F">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技术要求</w:t>
            </w:r>
          </w:p>
        </w:tc>
        <w:tc>
          <w:tcPr>
            <w:tcW w:w="675" w:type="dxa"/>
            <w:tcBorders>
              <w:tl2br w:val="nil"/>
              <w:tr2bl w:val="nil"/>
            </w:tcBorders>
            <w:shd w:val="clear" w:color="auto" w:fill="auto"/>
            <w:noWrap/>
            <w:vAlign w:val="center"/>
          </w:tcPr>
          <w:p w14:paraId="4947E703">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单位</w:t>
            </w:r>
          </w:p>
        </w:tc>
        <w:tc>
          <w:tcPr>
            <w:tcW w:w="700" w:type="dxa"/>
            <w:tcBorders>
              <w:tl2br w:val="nil"/>
              <w:tr2bl w:val="nil"/>
            </w:tcBorders>
            <w:shd w:val="clear" w:color="auto" w:fill="auto"/>
            <w:noWrap/>
            <w:vAlign w:val="center"/>
          </w:tcPr>
          <w:p w14:paraId="48402D8E">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4488" w:type="dxa"/>
            <w:tcBorders>
              <w:tl2br w:val="nil"/>
              <w:tr2bl w:val="nil"/>
            </w:tcBorders>
            <w:shd w:val="clear" w:color="auto" w:fill="auto"/>
            <w:noWrap/>
            <w:vAlign w:val="center"/>
          </w:tcPr>
          <w:p w14:paraId="57A218C0">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eastAsia="zh-CN" w:bidi="ar"/>
              </w:rPr>
              <w:t>参考图片</w:t>
            </w:r>
          </w:p>
        </w:tc>
      </w:tr>
      <w:tr w14:paraId="78484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312C4DF7">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ascii="宋体" w:hAnsi="宋体" w:cs="宋体"/>
                <w:color w:val="auto"/>
                <w:kern w:val="0"/>
                <w:sz w:val="22"/>
                <w:szCs w:val="22"/>
                <w:highlight w:val="none"/>
                <w:lang w:bidi="ar"/>
              </w:rPr>
              <w:t>1</w:t>
            </w:r>
          </w:p>
        </w:tc>
        <w:tc>
          <w:tcPr>
            <w:tcW w:w="1113" w:type="dxa"/>
            <w:tcBorders>
              <w:tl2br w:val="nil"/>
              <w:tr2bl w:val="nil"/>
            </w:tcBorders>
            <w:shd w:val="clear" w:color="auto" w:fill="FFFFFF"/>
            <w:vAlign w:val="center"/>
          </w:tcPr>
          <w:p w14:paraId="234F8333">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办公桌1</w:t>
            </w:r>
          </w:p>
        </w:tc>
        <w:tc>
          <w:tcPr>
            <w:tcW w:w="7387" w:type="dxa"/>
            <w:tcBorders>
              <w:tl2br w:val="nil"/>
              <w:tr2bl w:val="nil"/>
            </w:tcBorders>
            <w:shd w:val="clear" w:color="auto" w:fill="FFFFFF"/>
            <w:vAlign w:val="center"/>
          </w:tcPr>
          <w:p w14:paraId="25C349A5">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办公桌规格：2400mm*1800mm*760mm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±100mm</w:t>
            </w:r>
            <w:r>
              <w:rPr>
                <w:rFonts w:hint="eastAsia"/>
                <w:color w:val="auto"/>
                <w:sz w:val="21"/>
                <w:szCs w:val="21"/>
                <w:highlight w:val="none"/>
                <w:lang w:eastAsia="zh-CN"/>
              </w:rPr>
              <w:t>）</w:t>
            </w:r>
          </w:p>
          <w:p w14:paraId="0C70B4FC">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1、板材：需采用优质环保三聚氰胺板，环保等级达到E1级，耐磨、耐脏、耐高温， 质量需符合GB 18580-2017和GB/T15102-2017标准，静曲强度、内结合强度、表面胶合强度、含水率、握螺钉力、表面耐划痕、表面耐磨、表面耐香烟灼烧等指标需符合检测标准</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投标人须在投标文件中提供所投产品具有第三方检测机构出具的带CMA或CNAS标识的检测报告扫描件，检测项目至少包含：</w:t>
            </w:r>
            <w:r>
              <w:rPr>
                <w:rFonts w:ascii="宋体" w:hAnsi="宋体" w:cs="宋体"/>
                <w:color w:val="auto"/>
                <w:szCs w:val="21"/>
                <w:highlight w:val="none"/>
              </w:rPr>
              <w:t>表面耐污染腐蚀需达到五级，板材密度≥0.63g/cm³，板材厚度≥5cm,板材握螺钉力（板面≥1600N、板边≥1000N），板材环保等级必须达到 GB/T 39600 - 2021</w:t>
            </w:r>
            <w:r>
              <w:rPr>
                <w:rFonts w:hint="eastAsia" w:ascii="宋体" w:hAnsi="宋体" w:cs="宋体"/>
                <w:color w:val="auto"/>
                <w:szCs w:val="21"/>
                <w:highlight w:val="none"/>
                <w:lang w:eastAsia="zh-CN"/>
              </w:rPr>
              <w:t>，</w:t>
            </w:r>
            <w:r>
              <w:rPr>
                <w:rFonts w:ascii="宋体" w:hAnsi="宋体" w:cs="宋体"/>
                <w:color w:val="auto"/>
                <w:szCs w:val="21"/>
                <w:highlight w:val="none"/>
              </w:rPr>
              <w:t>甲醛含量≤0.025mg/m³</w:t>
            </w:r>
            <w:r>
              <w:rPr>
                <w:rFonts w:hint="eastAsia" w:ascii="宋体" w:hAnsi="宋体" w:cs="宋体"/>
                <w:color w:val="auto"/>
                <w:szCs w:val="21"/>
                <w:highlight w:val="none"/>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w:t>
            </w:r>
            <w:r>
              <w:rPr>
                <w:rFonts w:ascii="宋体" w:hAnsi="宋体" w:cs="宋体"/>
                <w:color w:val="auto"/>
                <w:szCs w:val="21"/>
                <w:highlight w:val="none"/>
              </w:rPr>
              <w:t xml:space="preserve">     </w:t>
            </w:r>
          </w:p>
          <w:p w14:paraId="01FDAD7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2、热熔胶：采用优质环保热熔胶，质量需符合GB 18583-2008，总挥发性有机物≤3g/kg</w:t>
            </w:r>
            <w:r>
              <w:rPr>
                <w:rFonts w:hint="eastAsia" w:ascii="宋体" w:hAnsi="宋体" w:cs="宋体"/>
                <w:color w:val="auto"/>
                <w:szCs w:val="21"/>
                <w:highlight w:val="none"/>
              </w:rPr>
              <w:t>；</w:t>
            </w:r>
          </w:p>
          <w:p w14:paraId="59EE42F2">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b w:val="0"/>
                <w:bCs w:val="0"/>
                <w:i w:val="0"/>
                <w:iCs w:val="0"/>
                <w:color w:val="auto"/>
                <w:kern w:val="0"/>
                <w:sz w:val="24"/>
                <w:szCs w:val="24"/>
                <w:highlight w:val="none"/>
                <w:u w:val="none"/>
                <w:lang w:val="en-US" w:eastAsia="zh-CN" w:bidi="ar"/>
              </w:rPr>
              <w:t>●</w:t>
            </w:r>
            <w:r>
              <w:rPr>
                <w:rFonts w:ascii="宋体" w:hAnsi="宋体" w:cs="宋体"/>
                <w:color w:val="auto"/>
                <w:szCs w:val="21"/>
                <w:highlight w:val="none"/>
              </w:rPr>
              <w:t>3、五金配件：需采用优质五金配件，导轨、门铰、锁具、三合一等五金配件质量需符合QB/T3827-1999（2009）和QB/T3832-1999(2009)标准；①耐腐蚀试验：中性盐雾试验-24h-涂(镀)层本身的耐腐蚀等级≥10级，涂(镀)层对基体的保护等级≥10级；②牢固度（锁头直径不小于20mm的，在承受200N静拉力后，应无松动；锁舌在承受200N侧向静载荷后，应能正常使用；锁头直径不小于20mm的弹子锁、叶片锁，使用寿命不应少于20000次）</w:t>
            </w:r>
            <w:r>
              <w:rPr>
                <w:rFonts w:hint="eastAsia" w:ascii="宋体" w:hAnsi="宋体" w:cs="宋体"/>
                <w:color w:val="auto"/>
                <w:szCs w:val="21"/>
                <w:highlight w:val="none"/>
              </w:rPr>
              <w:t>；</w:t>
            </w:r>
          </w:p>
          <w:p w14:paraId="0164B5D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4、封边带：需采用优质同色PVC封边条，厚度≥2.5mm，表面光滑，封边严密、平整，质量需符合QB/T 4463-2013标准，邻苯二甲酸酯(DBP、BBP、DEHP、DNOP、DINP和DIDP )≤0.001%，不含甲醛</w:t>
            </w:r>
            <w:r>
              <w:rPr>
                <w:rFonts w:hint="eastAsia" w:ascii="宋体" w:hAnsi="宋体" w:cs="宋体"/>
                <w:color w:val="auto"/>
                <w:szCs w:val="21"/>
                <w:highlight w:val="none"/>
              </w:rPr>
              <w:t>；</w:t>
            </w:r>
          </w:p>
          <w:p w14:paraId="4748B8D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bCs/>
                <w:color w:val="auto"/>
                <w:szCs w:val="21"/>
                <w:highlight w:val="none"/>
              </w:rPr>
              <w:t>5、</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r>
              <w:rPr>
                <w:rFonts w:ascii="宋体" w:hAnsi="宋体" w:cs="宋体"/>
                <w:b/>
                <w:bCs/>
                <w:color w:val="auto"/>
                <w:szCs w:val="21"/>
                <w:highlight w:val="none"/>
              </w:rPr>
              <w:t xml:space="preserve">   </w:t>
            </w:r>
          </w:p>
        </w:tc>
        <w:tc>
          <w:tcPr>
            <w:tcW w:w="675" w:type="dxa"/>
            <w:tcBorders>
              <w:tl2br w:val="nil"/>
              <w:tr2bl w:val="nil"/>
            </w:tcBorders>
            <w:shd w:val="clear" w:color="auto" w:fill="FFFFFF"/>
            <w:noWrap/>
            <w:vAlign w:val="center"/>
          </w:tcPr>
          <w:p w14:paraId="797E33FD">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700" w:type="dxa"/>
            <w:tcBorders>
              <w:tl2br w:val="nil"/>
              <w:tr2bl w:val="nil"/>
            </w:tcBorders>
            <w:shd w:val="clear" w:color="auto" w:fill="FFFFFF"/>
            <w:noWrap/>
            <w:vAlign w:val="center"/>
          </w:tcPr>
          <w:p w14:paraId="40A70F8A">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 w:val="22"/>
                <w:szCs w:val="22"/>
                <w:highlight w:val="none"/>
                <w:lang w:val="en-US" w:eastAsia="zh-CN" w:bidi="ar"/>
              </w:rPr>
              <w:t>5</w:t>
            </w:r>
          </w:p>
        </w:tc>
        <w:tc>
          <w:tcPr>
            <w:tcW w:w="4488" w:type="dxa"/>
            <w:tcBorders>
              <w:tl2br w:val="nil"/>
              <w:tr2bl w:val="nil"/>
            </w:tcBorders>
            <w:shd w:val="clear" w:color="auto" w:fill="FFFFFF"/>
            <w:noWrap/>
            <w:vAlign w:val="center"/>
          </w:tcPr>
          <w:p w14:paraId="2BF0FC0D">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val="en-US" w:eastAsia="zh-CN" w:bidi="ar"/>
              </w:rPr>
            </w:pPr>
            <w:r>
              <w:rPr>
                <w:rFonts w:ascii="宋体" w:hAnsi="宋体" w:cs="宋体"/>
                <w:b/>
                <w:bCs/>
                <w:color w:val="auto"/>
                <w:szCs w:val="21"/>
                <w:highlight w:val="none"/>
              </w:rPr>
              <w:drawing>
                <wp:inline distT="0" distB="0" distL="114300" distR="114300">
                  <wp:extent cx="2647950" cy="1985010"/>
                  <wp:effectExtent l="0" t="0" r="0" b="15240"/>
                  <wp:docPr id="24" name="图片 24" descr="8449360806232978bd442c1041ca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449360806232978bd442c1041ca689"/>
                          <pic:cNvPicPr>
                            <a:picLocks noChangeAspect="1"/>
                          </pic:cNvPicPr>
                        </pic:nvPicPr>
                        <pic:blipFill>
                          <a:blip r:embed="rId10"/>
                          <a:stretch>
                            <a:fillRect/>
                          </a:stretch>
                        </pic:blipFill>
                        <pic:spPr>
                          <a:xfrm>
                            <a:off x="0" y="0"/>
                            <a:ext cx="2647950" cy="1985010"/>
                          </a:xfrm>
                          <a:prstGeom prst="rect">
                            <a:avLst/>
                          </a:prstGeom>
                        </pic:spPr>
                      </pic:pic>
                    </a:graphicData>
                  </a:graphic>
                </wp:inline>
              </w:drawing>
            </w:r>
            <w:r>
              <w:rPr>
                <w:rFonts w:ascii="宋体" w:hAnsi="宋体" w:cs="宋体"/>
                <w:b/>
                <w:bCs/>
                <w:color w:val="auto"/>
                <w:szCs w:val="21"/>
                <w:highlight w:val="none"/>
              </w:rPr>
              <w:drawing>
                <wp:inline distT="0" distB="0" distL="114300" distR="114300">
                  <wp:extent cx="2701925" cy="2025650"/>
                  <wp:effectExtent l="0" t="0" r="3175" b="12700"/>
                  <wp:docPr id="23" name="图片 23" descr="cdd0820efa98db77587c625a61f4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d0820efa98db77587c625a61f4a5b"/>
                          <pic:cNvPicPr>
                            <a:picLocks noChangeAspect="1"/>
                          </pic:cNvPicPr>
                        </pic:nvPicPr>
                        <pic:blipFill>
                          <a:blip r:embed="rId11"/>
                          <a:stretch>
                            <a:fillRect/>
                          </a:stretch>
                        </pic:blipFill>
                        <pic:spPr>
                          <a:xfrm>
                            <a:off x="0" y="0"/>
                            <a:ext cx="2701925" cy="2025650"/>
                          </a:xfrm>
                          <a:prstGeom prst="rect">
                            <a:avLst/>
                          </a:prstGeom>
                        </pic:spPr>
                      </pic:pic>
                    </a:graphicData>
                  </a:graphic>
                </wp:inline>
              </w:drawing>
            </w:r>
          </w:p>
        </w:tc>
      </w:tr>
      <w:tr w14:paraId="799D7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04AAFF8B">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2</w:t>
            </w:r>
          </w:p>
        </w:tc>
        <w:tc>
          <w:tcPr>
            <w:tcW w:w="1113" w:type="dxa"/>
            <w:tcBorders>
              <w:tl2br w:val="nil"/>
              <w:tr2bl w:val="nil"/>
            </w:tcBorders>
            <w:shd w:val="clear" w:color="auto" w:fill="FFFFFF"/>
            <w:vAlign w:val="center"/>
          </w:tcPr>
          <w:p w14:paraId="78071AEA">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办公</w:t>
            </w:r>
            <w:r>
              <w:rPr>
                <w:rFonts w:hint="eastAsia" w:ascii="宋体" w:hAnsi="宋体" w:cs="宋体"/>
                <w:color w:val="auto"/>
                <w:kern w:val="0"/>
                <w:sz w:val="22"/>
                <w:szCs w:val="22"/>
                <w:highlight w:val="none"/>
                <w:lang w:val="en-US" w:eastAsia="zh-CN" w:bidi="ar"/>
              </w:rPr>
              <w:t>椅</w:t>
            </w:r>
            <w:r>
              <w:rPr>
                <w:rFonts w:hint="eastAsia" w:ascii="宋体" w:hAnsi="宋体" w:cs="宋体"/>
                <w:color w:val="auto"/>
                <w:kern w:val="0"/>
                <w:sz w:val="22"/>
                <w:szCs w:val="22"/>
                <w:highlight w:val="none"/>
                <w:lang w:bidi="ar"/>
              </w:rPr>
              <w:t>1</w:t>
            </w:r>
          </w:p>
        </w:tc>
        <w:tc>
          <w:tcPr>
            <w:tcW w:w="7387" w:type="dxa"/>
            <w:tcBorders>
              <w:tl2br w:val="nil"/>
              <w:tr2bl w:val="nil"/>
            </w:tcBorders>
            <w:shd w:val="clear" w:color="auto" w:fill="FFFFFF"/>
            <w:vAlign w:val="center"/>
          </w:tcPr>
          <w:p w14:paraId="19CB390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1、尺寸：座椅高度范围90-130cm，坐垫宽度范围：50-70cm；坐垫到地距离范围：40-60cm</w:t>
            </w:r>
            <w:r>
              <w:rPr>
                <w:rFonts w:hint="eastAsia" w:ascii="宋体" w:hAnsi="宋体" w:cs="宋体"/>
                <w:color w:val="auto"/>
                <w:szCs w:val="21"/>
                <w:highlight w:val="none"/>
              </w:rPr>
              <w:t>；</w:t>
            </w:r>
          </w:p>
          <w:p w14:paraId="66A63552">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b/>
                <w:bCs/>
                <w:color w:val="auto"/>
                <w:szCs w:val="21"/>
                <w:highlight w:val="none"/>
                <w:lang w:eastAsia="zh-CN"/>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2、面料：椅背采用复合高强度网布，椅面采用阻燃麻绒布，防火防静电耐磨强、透气性好、经防污处理、不褪色，甲醛含量不得检出</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ascii="宋体" w:hAnsi="宋体" w:cs="宋体"/>
                <w:b/>
                <w:bCs/>
                <w:color w:val="auto"/>
                <w:szCs w:val="21"/>
                <w:highlight w:val="none"/>
              </w:rPr>
              <w:t>提供所投产品具有</w:t>
            </w:r>
            <w:r>
              <w:rPr>
                <w:rFonts w:hint="eastAsia" w:ascii="宋体" w:hAnsi="宋体" w:cs="宋体"/>
                <w:b/>
                <w:bCs/>
                <w:color w:val="auto"/>
                <w:szCs w:val="21"/>
                <w:highlight w:val="none"/>
                <w:lang w:eastAsia="zh-CN"/>
              </w:rPr>
              <w:t>第三方检测机构</w:t>
            </w:r>
            <w:r>
              <w:rPr>
                <w:rFonts w:ascii="宋体" w:hAnsi="宋体" w:cs="宋体"/>
                <w:b/>
                <w:bCs/>
                <w:color w:val="auto"/>
                <w:szCs w:val="21"/>
                <w:highlight w:val="none"/>
              </w:rPr>
              <w:t>出具的带CMA或CNAS标识的检测报告扫描件，检测项目至少包含：</w:t>
            </w:r>
            <w:r>
              <w:rPr>
                <w:rFonts w:hint="eastAsia" w:ascii="宋体" w:hAnsi="宋体" w:cs="宋体"/>
                <w:b/>
                <w:bCs/>
                <w:color w:val="auto"/>
                <w:szCs w:val="21"/>
                <w:highlight w:val="none"/>
              </w:rPr>
              <w:t>可分解致癌芳香胺染料：砷、铅、镉、六价铬、钴、镍、汞、总铅、总镉、4-氨基联苯、联苯胺、4-氯-邻甲苯胺、2-萘胺等≥24种不得检出，染色牢度、耐酸汗渍、耐碱汁渍、耐干摩擦）≥4级，通过模拟火柴火焰抗引燃特性试验无续燃、阴燃，通过香烟抗引燃试验无续燃、阴燃，可萃取重金属（铅、铬、镉、镍、锑、砷、六价铬、钴、铜、汞）未检出；残余表而活性剂、润湿剂未检出，有害染料未检出，其他化学残余未检出</w:t>
            </w:r>
            <w:r>
              <w:rPr>
                <w:rFonts w:hint="eastAsia" w:ascii="宋体" w:hAnsi="宋体" w:cs="宋体"/>
                <w:b/>
                <w:bCs/>
                <w:color w:val="auto"/>
                <w:szCs w:val="21"/>
                <w:highlight w:val="none"/>
                <w:lang w:eastAsia="zh-CN"/>
              </w:rPr>
              <w:t>）；</w:t>
            </w:r>
          </w:p>
          <w:p w14:paraId="50CACF05">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宋体"/>
                <w:color w:val="auto"/>
                <w:spacing w:val="0"/>
                <w:position w:val="0"/>
                <w:sz w:val="21"/>
                <w:szCs w:val="21"/>
                <w:highlight w:val="none"/>
              </w:rPr>
              <w:t>★</w:t>
            </w:r>
            <w:r>
              <w:rPr>
                <w:rFonts w:ascii="宋体" w:hAnsi="宋体" w:cs="宋体"/>
                <w:color w:val="auto"/>
                <w:szCs w:val="21"/>
                <w:highlight w:val="none"/>
              </w:rPr>
              <w:t>3、海绵：采用海绵稳定性好。通过引燃的香烟抗引燃特性试验无续燃、阴燃现象，通过模拟火柴火焰抗引燃特性试验无续燃、阴燃现象，甲醛释放量未检出，密度≥62kg/m³，断裂伸长率≥158%，干热老化后拉伸强度≥185kPa，湿热老化后拉伸强度≥150kPa，65%/25%压陷比≥3.8，75%压缩永久变形≤2%，回弹率≥62%，拉伸强度≥199kPa，撕裂强度≥4.9N/cm，回弹性能≥60%，压缩永久变形≤2%</w:t>
            </w:r>
            <w:r>
              <w:rPr>
                <w:rFonts w:hint="eastAsia" w:ascii="宋体" w:hAnsi="宋体" w:cs="宋体"/>
                <w:color w:val="auto"/>
                <w:szCs w:val="21"/>
                <w:highlight w:val="none"/>
              </w:rPr>
              <w:t>；</w:t>
            </w:r>
          </w:p>
          <w:p w14:paraId="6A08AEA4">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4、气压棒：公称力382N 动态摩擦力最大值30N 无卡阻现象，启动力≤560N，伸展速度100mm/s～200mm/s之间，升降行程≥85mm；</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hint="eastAsia" w:ascii="宋体" w:hAnsi="宋体" w:cs="宋体"/>
                <w:b/>
                <w:bCs/>
                <w:color w:val="auto"/>
                <w:szCs w:val="21"/>
                <w:highlight w:val="none"/>
                <w:lang w:eastAsia="zh-CN"/>
              </w:rPr>
              <w:t>提供第三方检测机构出具的检测报告复印件</w:t>
            </w:r>
            <w:r>
              <w:rPr>
                <w:rFonts w:hint="eastAsia" w:ascii="宋体" w:hAnsi="宋体" w:eastAsia="宋体" w:cs="宋体"/>
                <w:b/>
                <w:bCs/>
                <w:color w:val="auto"/>
                <w:spacing w:val="-7"/>
                <w:sz w:val="21"/>
                <w:szCs w:val="21"/>
                <w:highlight w:val="none"/>
                <w:shd w:val="clear" w:color="auto" w:fill="auto"/>
                <w:lang w:val="en-US" w:eastAsia="zh-CN"/>
              </w:rPr>
              <w:t>加盖单位公章</w:t>
            </w:r>
            <w:r>
              <w:rPr>
                <w:rFonts w:hint="eastAsia" w:ascii="宋体" w:hAnsi="宋体" w:cs="宋体"/>
                <w:b/>
                <w:bCs/>
                <w:color w:val="auto"/>
                <w:szCs w:val="21"/>
                <w:highlight w:val="none"/>
                <w:lang w:eastAsia="zh-CN"/>
              </w:rPr>
              <w:t>，</w:t>
            </w:r>
            <w:r>
              <w:rPr>
                <w:rFonts w:hint="eastAsia" w:ascii="宋体" w:hAnsi="宋体" w:eastAsia="宋体" w:cs="宋体"/>
                <w:b/>
                <w:bCs/>
                <w:color w:val="auto"/>
                <w:kern w:val="0"/>
                <w:sz w:val="21"/>
                <w:szCs w:val="21"/>
                <w:highlight w:val="none"/>
                <w:lang w:val="en-US" w:eastAsia="zh-CN" w:bidi="ar"/>
              </w:rPr>
              <w:t>检测报告</w:t>
            </w:r>
            <w:r>
              <w:rPr>
                <w:rFonts w:hint="eastAsia" w:ascii="宋体" w:hAnsi="宋体" w:cs="宋体"/>
                <w:b/>
                <w:bCs/>
                <w:color w:val="auto"/>
                <w:szCs w:val="21"/>
                <w:highlight w:val="none"/>
                <w:lang w:eastAsia="zh-CN"/>
              </w:rPr>
              <w:t>须具有CMA或CNAS标识，</w:t>
            </w:r>
            <w:r>
              <w:rPr>
                <w:rFonts w:ascii="宋体" w:hAnsi="宋体" w:cs="宋体"/>
                <w:b/>
                <w:bCs/>
                <w:color w:val="auto"/>
                <w:szCs w:val="21"/>
                <w:highlight w:val="none"/>
              </w:rPr>
              <w:t>检测项目至少包含</w:t>
            </w:r>
            <w:r>
              <w:rPr>
                <w:rFonts w:hint="eastAsia" w:ascii="宋体" w:hAnsi="宋体" w:cs="宋体"/>
                <w:b/>
                <w:bCs/>
                <w:color w:val="auto"/>
                <w:szCs w:val="21"/>
                <w:highlight w:val="none"/>
                <w:lang w:eastAsia="zh-CN"/>
              </w:rPr>
              <w:t>：</w:t>
            </w:r>
            <w:r>
              <w:rPr>
                <w:rFonts w:ascii="宋体" w:hAnsi="宋体" w:cs="宋体"/>
                <w:color w:val="auto"/>
                <w:szCs w:val="21"/>
                <w:highlight w:val="none"/>
              </w:rPr>
              <w:t>经过高低温储存性能试验的气弹簧承受30000次循环寿命试验试验后公称力的总衰减量≤1%；金属件外观防锈处理，无锈迹，无脱焊、虚焊、焊穿，其他零部件无破损，固定部位的结合牢固无松动，无少件、漏钉、透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w:t>
            </w:r>
          </w:p>
          <w:p w14:paraId="35452D50">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5、脚架：尼龙五星脚架</w:t>
            </w:r>
            <w:r>
              <w:rPr>
                <w:rFonts w:hint="eastAsia" w:ascii="宋体" w:hAnsi="宋体" w:cs="宋体"/>
                <w:color w:val="auto"/>
                <w:szCs w:val="21"/>
                <w:highlight w:val="none"/>
              </w:rPr>
              <w:t>；</w:t>
            </w:r>
          </w:p>
          <w:p w14:paraId="3D0B76C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6、万向脚轮（椅轮）：采用尼龙加纤维交强而成，强度高，耐磨性好；符合GB/T 32487-2016标准</w:t>
            </w:r>
            <w:r>
              <w:rPr>
                <w:rFonts w:hint="eastAsia" w:ascii="宋体" w:hAnsi="宋体" w:cs="宋体"/>
                <w:color w:val="auto"/>
                <w:szCs w:val="21"/>
                <w:highlight w:val="none"/>
              </w:rPr>
              <w:t>；</w:t>
            </w:r>
          </w:p>
          <w:p w14:paraId="6EBEEC7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default" w:ascii="宋体" w:hAnsi="宋体" w:cs="宋体"/>
                <w:b/>
                <w:bCs/>
                <w:color w:val="auto"/>
                <w:szCs w:val="21"/>
                <w:highlight w:val="none"/>
                <w:lang w:val="en-US" w:eastAsia="zh-CN"/>
              </w:rPr>
            </w:pPr>
            <w:r>
              <w:rPr>
                <w:rFonts w:ascii="宋体" w:hAnsi="宋体" w:cs="宋体"/>
                <w:color w:val="auto"/>
                <w:szCs w:val="21"/>
                <w:highlight w:val="none"/>
              </w:rPr>
              <w:t>7、</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78CCE48B">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700" w:type="dxa"/>
            <w:tcBorders>
              <w:tl2br w:val="nil"/>
              <w:tr2bl w:val="nil"/>
            </w:tcBorders>
            <w:shd w:val="clear" w:color="auto" w:fill="FFFFFF"/>
            <w:noWrap/>
            <w:vAlign w:val="center"/>
          </w:tcPr>
          <w:p w14:paraId="7C1567E3">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5</w:t>
            </w:r>
          </w:p>
        </w:tc>
        <w:tc>
          <w:tcPr>
            <w:tcW w:w="4488" w:type="dxa"/>
            <w:tcBorders>
              <w:tl2br w:val="nil"/>
              <w:tr2bl w:val="nil"/>
            </w:tcBorders>
            <w:shd w:val="clear" w:color="auto" w:fill="FFFFFF"/>
            <w:noWrap/>
            <w:vAlign w:val="center"/>
          </w:tcPr>
          <w:p w14:paraId="3333650A">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drawing>
                <wp:inline distT="0" distB="0" distL="114300" distR="114300">
                  <wp:extent cx="2358390" cy="3143885"/>
                  <wp:effectExtent l="0" t="0" r="3810" b="10795"/>
                  <wp:docPr id="25" name="图片 25" descr="05413dea777e3e3ac18efaa52a3d8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5413dea777e3e3ac18efaa52a3d8cc8"/>
                          <pic:cNvPicPr>
                            <a:picLocks noChangeAspect="1"/>
                          </pic:cNvPicPr>
                        </pic:nvPicPr>
                        <pic:blipFill>
                          <a:blip r:embed="rId12"/>
                          <a:stretch>
                            <a:fillRect/>
                          </a:stretch>
                        </pic:blipFill>
                        <pic:spPr>
                          <a:xfrm>
                            <a:off x="0" y="0"/>
                            <a:ext cx="2358390" cy="3143885"/>
                          </a:xfrm>
                          <a:prstGeom prst="rect">
                            <a:avLst/>
                          </a:prstGeom>
                        </pic:spPr>
                      </pic:pic>
                    </a:graphicData>
                  </a:graphic>
                </wp:inline>
              </w:drawing>
            </w:r>
          </w:p>
          <w:p w14:paraId="34CABCAD">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drawing>
                <wp:inline distT="0" distB="0" distL="114300" distR="114300">
                  <wp:extent cx="2614930" cy="3248660"/>
                  <wp:effectExtent l="0" t="0" r="13970" b="8890"/>
                  <wp:docPr id="27" name="图片 27" descr="0693ea121c171cc1fce1033ad81eb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693ea121c171cc1fce1033ad81ebfb6"/>
                          <pic:cNvPicPr>
                            <a:picLocks noChangeAspect="1"/>
                          </pic:cNvPicPr>
                        </pic:nvPicPr>
                        <pic:blipFill>
                          <a:blip r:embed="rId13"/>
                          <a:stretch>
                            <a:fillRect/>
                          </a:stretch>
                        </pic:blipFill>
                        <pic:spPr>
                          <a:xfrm>
                            <a:off x="0" y="0"/>
                            <a:ext cx="2614930" cy="3248660"/>
                          </a:xfrm>
                          <a:prstGeom prst="rect">
                            <a:avLst/>
                          </a:prstGeom>
                        </pic:spPr>
                      </pic:pic>
                    </a:graphicData>
                  </a:graphic>
                </wp:inline>
              </w:drawing>
            </w:r>
          </w:p>
        </w:tc>
      </w:tr>
      <w:tr w14:paraId="05F7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2156E935">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 w:val="22"/>
                <w:szCs w:val="22"/>
                <w:highlight w:val="none"/>
                <w:lang w:val="en-US" w:eastAsia="zh-CN" w:bidi="ar"/>
              </w:rPr>
              <w:t>3</w:t>
            </w:r>
          </w:p>
        </w:tc>
        <w:tc>
          <w:tcPr>
            <w:tcW w:w="1113" w:type="dxa"/>
            <w:tcBorders>
              <w:tl2br w:val="nil"/>
              <w:tr2bl w:val="nil"/>
            </w:tcBorders>
            <w:shd w:val="clear" w:color="auto" w:fill="FFFFFF"/>
            <w:vAlign w:val="center"/>
          </w:tcPr>
          <w:p w14:paraId="5D06A412">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书柜1</w:t>
            </w:r>
          </w:p>
        </w:tc>
        <w:tc>
          <w:tcPr>
            <w:tcW w:w="7387" w:type="dxa"/>
            <w:tcBorders>
              <w:tl2br w:val="nil"/>
              <w:tr2bl w:val="nil"/>
            </w:tcBorders>
            <w:shd w:val="clear" w:color="auto" w:fill="FFFFFF"/>
            <w:vAlign w:val="center"/>
          </w:tcPr>
          <w:p w14:paraId="5BB59768">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default" w:ascii="宋体" w:hAnsi="宋体" w:eastAsia="宋体" w:cs="宋体"/>
                <w:color w:val="auto"/>
                <w:szCs w:val="21"/>
                <w:highlight w:val="none"/>
                <w:lang w:val="en-US" w:eastAsia="zh-CN"/>
              </w:rPr>
            </w:pPr>
            <w:r>
              <w:rPr>
                <w:rFonts w:ascii="宋体" w:hAnsi="宋体" w:cs="宋体"/>
                <w:color w:val="auto"/>
                <w:szCs w:val="21"/>
                <w:highlight w:val="none"/>
              </w:rPr>
              <w:t>规格：2400</w:t>
            </w:r>
            <w:r>
              <w:rPr>
                <w:rFonts w:hint="eastAsia" w:ascii="宋体" w:hAnsi="宋体" w:cs="宋体"/>
                <w:color w:val="auto"/>
                <w:szCs w:val="21"/>
                <w:highlight w:val="none"/>
                <w:lang w:val="en-US" w:eastAsia="zh-CN"/>
              </w:rPr>
              <w:t>mm</w:t>
            </w:r>
            <w:r>
              <w:rPr>
                <w:rFonts w:ascii="宋体" w:hAnsi="宋体" w:cs="宋体"/>
                <w:color w:val="auto"/>
                <w:szCs w:val="21"/>
                <w:highlight w:val="none"/>
              </w:rPr>
              <w:t>*450</w:t>
            </w:r>
            <w:r>
              <w:rPr>
                <w:rFonts w:hint="eastAsia" w:ascii="宋体" w:hAnsi="宋体" w:cs="宋体"/>
                <w:color w:val="auto"/>
                <w:szCs w:val="21"/>
                <w:highlight w:val="none"/>
                <w:lang w:val="en-US" w:eastAsia="zh-CN"/>
              </w:rPr>
              <w:t>mm</w:t>
            </w:r>
            <w:r>
              <w:rPr>
                <w:rFonts w:ascii="宋体" w:hAnsi="宋体" w:cs="宋体"/>
                <w:color w:val="auto"/>
                <w:szCs w:val="21"/>
                <w:highlight w:val="none"/>
              </w:rPr>
              <w:t>*2080</w:t>
            </w:r>
            <w:r>
              <w:rPr>
                <w:rFonts w:hint="eastAsia" w:ascii="宋体" w:hAnsi="宋体" w:cs="宋体"/>
                <w:color w:val="auto"/>
                <w:szCs w:val="21"/>
                <w:highlight w:val="none"/>
                <w:lang w:val="en-US" w:eastAsia="zh-CN"/>
              </w:rPr>
              <w:t>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100</w:t>
            </w:r>
            <w:r>
              <w:rPr>
                <w:rFonts w:hint="eastAsia" w:ascii="宋体" w:hAnsi="宋体" w:eastAsia="宋体" w:cs="宋体"/>
                <w:i w:val="0"/>
                <w:iCs w:val="0"/>
                <w:color w:val="auto"/>
                <w:kern w:val="0"/>
                <w:sz w:val="21"/>
                <w:szCs w:val="21"/>
                <w:highlight w:val="none"/>
                <w:u w:val="none"/>
                <w:lang w:val="en-US" w:eastAsia="zh-CN" w:bidi="ar"/>
              </w:rPr>
              <w:t>mm</w:t>
            </w:r>
            <w:r>
              <w:rPr>
                <w:rFonts w:hint="eastAsia"/>
                <w:color w:val="auto"/>
                <w:sz w:val="21"/>
                <w:szCs w:val="21"/>
                <w:highlight w:val="none"/>
                <w:lang w:eastAsia="zh-CN"/>
              </w:rPr>
              <w:t>）</w:t>
            </w:r>
          </w:p>
          <w:p w14:paraId="2BADEE86">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b w:val="0"/>
                <w:bCs w:val="0"/>
                <w:i w:val="0"/>
                <w:iCs w:val="0"/>
                <w:color w:val="auto"/>
                <w:kern w:val="0"/>
                <w:sz w:val="24"/>
                <w:szCs w:val="24"/>
                <w:highlight w:val="none"/>
                <w:u w:val="none"/>
                <w:lang w:val="en-US" w:eastAsia="zh-CN" w:bidi="ar"/>
              </w:rPr>
              <w:t>●</w:t>
            </w:r>
            <w:r>
              <w:rPr>
                <w:rFonts w:ascii="宋体" w:hAnsi="宋体" w:cs="宋体"/>
                <w:color w:val="auto"/>
                <w:szCs w:val="21"/>
                <w:highlight w:val="none"/>
              </w:rPr>
              <w:t>1、板材：需采用优质环保三聚氰胺板，环保等级达到</w:t>
            </w:r>
            <w:r>
              <w:rPr>
                <w:rFonts w:hint="eastAsia" w:ascii="宋体" w:hAnsi="宋体" w:cs="宋体"/>
                <w:color w:val="auto"/>
                <w:szCs w:val="21"/>
                <w:highlight w:val="none"/>
                <w:lang w:val="en-US" w:eastAsia="zh-CN"/>
              </w:rPr>
              <w:t>E1级以上板材</w:t>
            </w:r>
            <w:r>
              <w:rPr>
                <w:rFonts w:ascii="宋体" w:hAnsi="宋体" w:cs="宋体"/>
                <w:color w:val="auto"/>
                <w:szCs w:val="21"/>
                <w:highlight w:val="none"/>
              </w:rPr>
              <w:t>，耐磨、耐脏、耐高温， 质量需符合GB 18580-2017和GB/T15102-2017标准，静曲强度、内结合强度、表面胶合强度、含水率、握螺钉力、表面耐划痕、表面耐磨、表面耐香烟灼烧等指标需符合检测标准，表面耐污染腐蚀需达到五级，板材密度≥0.63g/cm³，板材厚度≥3cm,板材握螺钉力（板面≥1600N、板边≥1000N），板材环保等级必须达到 GB/T 39600 - 2021，甲醛含量≤0.025mg/m³ ；</w:t>
            </w:r>
          </w:p>
          <w:p w14:paraId="089E0D4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2、热熔胶：采用优质环保热熔胶，质量需符合GB 18583-2008，总挥发性有机物≤3g/kg；</w:t>
            </w:r>
          </w:p>
          <w:p w14:paraId="4DF082E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3、五金配件：需采用优质五金配件，导轨、门铰、锁具、三合一等五金配件，质量需符合QB/T3827-1999（2009）和QB/T3832-1999(2009)标准；</w:t>
            </w:r>
          </w:p>
          <w:p w14:paraId="7FA6D3E6">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4、封边带：需采用优质同色PVC封边条，厚度≥2.5mm，表面光滑，封边严密、平整，质量需符合QB/T 4463-2013标准，邻苯二甲酸酯(DBP、BBP、DEHP、DNOP、DINP和DIDP )≤0.001%，不含甲醛</w:t>
            </w:r>
            <w:r>
              <w:rPr>
                <w:rFonts w:hint="eastAsia" w:ascii="宋体" w:hAnsi="宋体" w:cs="宋体"/>
                <w:color w:val="auto"/>
                <w:szCs w:val="21"/>
                <w:highlight w:val="none"/>
              </w:rPr>
              <w:t>；</w:t>
            </w:r>
          </w:p>
          <w:p w14:paraId="6F4F5F19">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5、柜门：玻璃材质柜门</w:t>
            </w:r>
            <w:r>
              <w:rPr>
                <w:rFonts w:hint="eastAsia" w:ascii="宋体" w:hAnsi="宋体" w:cs="宋体"/>
                <w:color w:val="auto"/>
                <w:szCs w:val="21"/>
                <w:highlight w:val="none"/>
              </w:rPr>
              <w:t>；</w:t>
            </w:r>
          </w:p>
          <w:p w14:paraId="7DEF6516">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eastAsia="宋体" w:cs="宋体"/>
                <w:b/>
                <w:bCs/>
                <w:color w:val="auto"/>
                <w:szCs w:val="21"/>
                <w:highlight w:val="none"/>
                <w:lang w:eastAsia="zh-CN"/>
              </w:rPr>
            </w:pPr>
            <w:r>
              <w:rPr>
                <w:rFonts w:ascii="宋体" w:hAnsi="宋体" w:cs="宋体"/>
                <w:b/>
                <w:bCs/>
                <w:color w:val="auto"/>
                <w:szCs w:val="21"/>
                <w:highlight w:val="none"/>
              </w:rPr>
              <w:t>6、</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p w14:paraId="4B71B608">
            <w:pPr>
              <w:keepNext/>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参考图：</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办公桌后面的柜子图</w:t>
            </w:r>
            <w:r>
              <w:rPr>
                <w:rFonts w:hint="eastAsia" w:ascii="宋体" w:hAnsi="宋体" w:cs="宋体"/>
                <w:b/>
                <w:bCs/>
                <w:color w:val="auto"/>
                <w:szCs w:val="21"/>
                <w:highlight w:val="none"/>
                <w:lang w:eastAsia="zh-CN"/>
              </w:rPr>
              <w:t>）</w:t>
            </w:r>
          </w:p>
          <w:p w14:paraId="0745D579">
            <w:pPr>
              <w:keepNext/>
              <w:keepLines w:val="0"/>
              <w:pageBreakBefore w:val="0"/>
              <w:widowControl w:val="0"/>
              <w:kinsoku/>
              <w:wordWrap/>
              <w:overflowPunct/>
              <w:topLinePunct w:val="0"/>
              <w:autoSpaceDE/>
              <w:autoSpaceDN/>
              <w:bidi w:val="0"/>
              <w:adjustRightInd/>
              <w:snapToGrid/>
              <w:jc w:val="left"/>
              <w:textAlignment w:val="center"/>
              <w:rPr>
                <w:rFonts w:ascii="宋体" w:hAnsi="宋体" w:cs="宋体"/>
                <w:b/>
                <w:bCs/>
                <w:color w:val="auto"/>
                <w:szCs w:val="21"/>
                <w:highlight w:val="none"/>
              </w:rPr>
            </w:pPr>
            <w:r>
              <w:rPr>
                <w:rFonts w:ascii="宋体" w:hAnsi="宋体" w:cs="宋体"/>
                <w:b/>
                <w:bCs/>
                <w:color w:val="auto"/>
                <w:szCs w:val="21"/>
                <w:highlight w:val="none"/>
              </w:rPr>
              <w:t xml:space="preserve">   </w:t>
            </w:r>
          </w:p>
        </w:tc>
        <w:tc>
          <w:tcPr>
            <w:tcW w:w="675" w:type="dxa"/>
            <w:tcBorders>
              <w:tl2br w:val="nil"/>
              <w:tr2bl w:val="nil"/>
            </w:tcBorders>
            <w:shd w:val="clear" w:color="auto" w:fill="FFFFFF"/>
            <w:noWrap/>
            <w:vAlign w:val="center"/>
          </w:tcPr>
          <w:p w14:paraId="726C9448">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组</w:t>
            </w:r>
          </w:p>
        </w:tc>
        <w:tc>
          <w:tcPr>
            <w:tcW w:w="700" w:type="dxa"/>
            <w:tcBorders>
              <w:tl2br w:val="nil"/>
              <w:tr2bl w:val="nil"/>
            </w:tcBorders>
            <w:shd w:val="clear" w:color="auto" w:fill="FFFFFF"/>
            <w:noWrap/>
            <w:vAlign w:val="center"/>
          </w:tcPr>
          <w:p w14:paraId="41F41BA8">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 w:val="22"/>
                <w:szCs w:val="22"/>
                <w:highlight w:val="none"/>
                <w:lang w:bidi="ar"/>
              </w:rPr>
              <w:t>7</w:t>
            </w:r>
          </w:p>
        </w:tc>
        <w:tc>
          <w:tcPr>
            <w:tcW w:w="4488" w:type="dxa"/>
            <w:tcBorders>
              <w:tl2br w:val="nil"/>
              <w:tr2bl w:val="nil"/>
            </w:tcBorders>
            <w:shd w:val="clear" w:color="auto" w:fill="FFFFFF"/>
            <w:noWrap/>
            <w:vAlign w:val="center"/>
          </w:tcPr>
          <w:p w14:paraId="0A2E39F6">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b/>
                <w:bCs/>
                <w:color w:val="auto"/>
                <w:szCs w:val="21"/>
                <w:highlight w:val="none"/>
              </w:rPr>
            </w:pPr>
            <w:r>
              <w:rPr>
                <w:rFonts w:ascii="宋体" w:hAnsi="宋体" w:cs="宋体"/>
                <w:b/>
                <w:bCs/>
                <w:color w:val="auto"/>
                <w:szCs w:val="21"/>
                <w:highlight w:val="none"/>
              </w:rPr>
              <w:drawing>
                <wp:inline distT="0" distB="0" distL="114300" distR="114300">
                  <wp:extent cx="2701925" cy="2477770"/>
                  <wp:effectExtent l="0" t="0" r="3175" b="17780"/>
                  <wp:docPr id="28" name="图片 28" descr="cdd0820efa98db77587c625a61f4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d0820efa98db77587c625a61f4a5b"/>
                          <pic:cNvPicPr>
                            <a:picLocks noChangeAspect="1"/>
                          </pic:cNvPicPr>
                        </pic:nvPicPr>
                        <pic:blipFill>
                          <a:blip r:embed="rId11"/>
                          <a:stretch>
                            <a:fillRect/>
                          </a:stretch>
                        </pic:blipFill>
                        <pic:spPr>
                          <a:xfrm>
                            <a:off x="0" y="0"/>
                            <a:ext cx="2701925" cy="2477770"/>
                          </a:xfrm>
                          <a:prstGeom prst="rect">
                            <a:avLst/>
                          </a:prstGeom>
                        </pic:spPr>
                      </pic:pic>
                    </a:graphicData>
                  </a:graphic>
                </wp:inline>
              </w:drawing>
            </w:r>
          </w:p>
          <w:p w14:paraId="3697E89C">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color w:val="auto"/>
                <w:szCs w:val="21"/>
                <w:highlight w:val="none"/>
              </w:rPr>
            </w:pPr>
            <w:r>
              <w:rPr>
                <w:rFonts w:ascii="宋体" w:hAnsi="宋体" w:cs="宋体"/>
                <w:b/>
                <w:bCs/>
                <w:color w:val="auto"/>
                <w:szCs w:val="21"/>
                <w:highlight w:val="none"/>
              </w:rPr>
              <w:drawing>
                <wp:inline distT="0" distB="0" distL="114300" distR="114300">
                  <wp:extent cx="2647950" cy="2127250"/>
                  <wp:effectExtent l="0" t="0" r="0" b="6350"/>
                  <wp:docPr id="30" name="图片 30" descr="8449360806232978bd442c1041ca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449360806232978bd442c1041ca689"/>
                          <pic:cNvPicPr>
                            <a:picLocks noChangeAspect="1"/>
                          </pic:cNvPicPr>
                        </pic:nvPicPr>
                        <pic:blipFill>
                          <a:blip r:embed="rId10"/>
                          <a:stretch>
                            <a:fillRect/>
                          </a:stretch>
                        </pic:blipFill>
                        <pic:spPr>
                          <a:xfrm>
                            <a:off x="0" y="0"/>
                            <a:ext cx="2647950" cy="2127250"/>
                          </a:xfrm>
                          <a:prstGeom prst="rect">
                            <a:avLst/>
                          </a:prstGeom>
                        </pic:spPr>
                      </pic:pic>
                    </a:graphicData>
                  </a:graphic>
                </wp:inline>
              </w:drawing>
            </w:r>
          </w:p>
        </w:tc>
      </w:tr>
      <w:tr w14:paraId="4314C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57B31EA7">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4</w:t>
            </w:r>
          </w:p>
        </w:tc>
        <w:tc>
          <w:tcPr>
            <w:tcW w:w="1113" w:type="dxa"/>
            <w:tcBorders>
              <w:tl2br w:val="nil"/>
              <w:tr2bl w:val="nil"/>
            </w:tcBorders>
            <w:shd w:val="clear" w:color="auto" w:fill="FFFFFF"/>
            <w:vAlign w:val="center"/>
          </w:tcPr>
          <w:p w14:paraId="5BCC745C">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沙发</w:t>
            </w:r>
          </w:p>
        </w:tc>
        <w:tc>
          <w:tcPr>
            <w:tcW w:w="7387" w:type="dxa"/>
            <w:tcBorders>
              <w:tl2br w:val="nil"/>
              <w:tr2bl w:val="nil"/>
            </w:tcBorders>
            <w:shd w:val="clear" w:color="auto" w:fill="FFFFFF"/>
            <w:vAlign w:val="center"/>
          </w:tcPr>
          <w:p w14:paraId="31E52C3D">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1、规格：三人位：</w:t>
            </w:r>
            <w:r>
              <w:rPr>
                <w:rFonts w:hint="eastAsia" w:ascii="宋体" w:hAnsi="宋体" w:cs="宋体"/>
                <w:color w:val="auto"/>
                <w:szCs w:val="21"/>
                <w:highlight w:val="none"/>
              </w:rPr>
              <w:t>尺寸1460</w:t>
            </w:r>
            <w:r>
              <w:rPr>
                <w:rFonts w:hint="eastAsia" w:ascii="宋体" w:hAnsi="宋体" w:cs="宋体"/>
                <w:color w:val="auto"/>
                <w:szCs w:val="21"/>
                <w:highlight w:val="none"/>
                <w:lang w:val="en-US" w:eastAsia="zh-CN"/>
              </w:rPr>
              <w:t>mm</w:t>
            </w:r>
            <w:r>
              <w:rPr>
                <w:rFonts w:ascii="宋体" w:hAnsi="宋体" w:cs="宋体"/>
                <w:color w:val="auto"/>
                <w:szCs w:val="21"/>
                <w:highlight w:val="none"/>
              </w:rPr>
              <w:t>*</w:t>
            </w:r>
            <w:r>
              <w:rPr>
                <w:rFonts w:hint="eastAsia" w:ascii="宋体" w:hAnsi="宋体" w:cs="宋体"/>
                <w:color w:val="auto"/>
                <w:szCs w:val="21"/>
                <w:highlight w:val="none"/>
              </w:rPr>
              <w:t>590</w:t>
            </w:r>
            <w:r>
              <w:rPr>
                <w:rFonts w:hint="eastAsia" w:ascii="宋体" w:hAnsi="宋体" w:cs="宋体"/>
                <w:color w:val="auto"/>
                <w:szCs w:val="21"/>
                <w:highlight w:val="none"/>
                <w:lang w:val="en-US" w:eastAsia="zh-CN"/>
              </w:rPr>
              <w:t>mm</w:t>
            </w:r>
            <w:r>
              <w:rPr>
                <w:rFonts w:ascii="宋体" w:hAnsi="宋体" w:cs="宋体"/>
                <w:color w:val="auto"/>
                <w:szCs w:val="21"/>
                <w:highlight w:val="none"/>
              </w:rPr>
              <w:t>*</w:t>
            </w:r>
            <w:r>
              <w:rPr>
                <w:rFonts w:hint="eastAsia" w:ascii="宋体" w:hAnsi="宋体" w:cs="宋体"/>
                <w:color w:val="auto"/>
                <w:szCs w:val="21"/>
                <w:highlight w:val="none"/>
              </w:rPr>
              <w:t>710</w:t>
            </w:r>
            <w:r>
              <w:rPr>
                <w:rFonts w:ascii="宋体" w:hAnsi="宋体" w:cs="宋体"/>
                <w:color w:val="auto"/>
                <w:szCs w:val="21"/>
                <w:highlight w:val="none"/>
              </w:rPr>
              <w:t>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±100mm</w:t>
            </w:r>
            <w:r>
              <w:rPr>
                <w:rFonts w:hint="eastAsia"/>
                <w:color w:val="auto"/>
                <w:sz w:val="21"/>
                <w:szCs w:val="21"/>
                <w:highlight w:val="none"/>
                <w:lang w:eastAsia="zh-CN"/>
              </w:rPr>
              <w:t>）</w:t>
            </w:r>
            <w:r>
              <w:rPr>
                <w:rFonts w:ascii="宋体" w:hAnsi="宋体" w:cs="宋体"/>
                <w:color w:val="auto"/>
                <w:szCs w:val="21"/>
                <w:highlight w:val="none"/>
              </w:rPr>
              <w:t>；</w:t>
            </w:r>
          </w:p>
          <w:p w14:paraId="10307709">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 xml:space="preserve">2、框架：选用实木框架，窖干后加工成型，经防虫、防腐 处理，结构稳定，不宜变形。 </w:t>
            </w:r>
          </w:p>
          <w:p w14:paraId="12C3771C">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 xml:space="preserve">3、面料：选用西皮软包，皮面柔软而富有韧性，透气性强， 无色差，表面无龟裂、破损、无油腻感，光泽持久性。 </w:t>
            </w:r>
          </w:p>
          <w:p w14:paraId="1BB5D310">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Cs w:val="21"/>
                <w:highlight w:val="none"/>
                <w:lang w:eastAsia="zh-CN"/>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4、海绵：选用高密度定型海绵，软硬适中。</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ascii="宋体" w:hAnsi="宋体" w:cs="宋体"/>
                <w:b/>
                <w:bCs/>
                <w:color w:val="auto"/>
                <w:szCs w:val="21"/>
                <w:highlight w:val="none"/>
              </w:rPr>
              <w:t>提供所投产品具有</w:t>
            </w:r>
            <w:r>
              <w:rPr>
                <w:rFonts w:hint="eastAsia" w:ascii="宋体" w:hAnsi="宋体" w:cs="宋体"/>
                <w:b/>
                <w:bCs/>
                <w:color w:val="auto"/>
                <w:szCs w:val="21"/>
                <w:highlight w:val="none"/>
                <w:lang w:eastAsia="zh-CN"/>
              </w:rPr>
              <w:t>第三方检测机构</w:t>
            </w:r>
            <w:r>
              <w:rPr>
                <w:rFonts w:ascii="宋体" w:hAnsi="宋体" w:cs="宋体"/>
                <w:b/>
                <w:bCs/>
                <w:color w:val="auto"/>
                <w:szCs w:val="21"/>
                <w:highlight w:val="none"/>
              </w:rPr>
              <w:t>出具的带CMA或CNAS标识的“海绵”检测报告扫描件，检测项目至少包含：单位面积热释放速率峰值≤400kW/m²；平均燃烧时间≤30s；平均燃烧高度≤250mm。</w:t>
            </w:r>
            <w:r>
              <w:rPr>
                <w:rFonts w:hint="eastAsia" w:ascii="宋体" w:hAnsi="宋体" w:cs="宋体"/>
                <w:b/>
                <w:bCs/>
                <w:color w:val="auto"/>
                <w:szCs w:val="21"/>
                <w:highlight w:val="none"/>
                <w:lang w:eastAsia="zh-CN"/>
              </w:rPr>
              <w:t>）</w:t>
            </w:r>
          </w:p>
          <w:p w14:paraId="2A450DE4">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5、粘胶：选用优质环保胶粘剂。</w:t>
            </w:r>
          </w:p>
          <w:p w14:paraId="4A7038F1">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6、细节：安装严密、平整、端正、牢固，结合处无崩茬和 松动，确保使用寿命更长。</w:t>
            </w:r>
          </w:p>
          <w:p w14:paraId="05736A0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7、脚架：采用五金脚架，坚固、耐用。</w:t>
            </w:r>
          </w:p>
          <w:p w14:paraId="20839A50">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b/>
                <w:bCs/>
                <w:color w:val="auto"/>
                <w:szCs w:val="21"/>
                <w:highlight w:val="none"/>
              </w:rPr>
              <w:t>8、</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r>
              <w:rPr>
                <w:color w:val="auto"/>
                <w:highlight w:val="none"/>
              </w:rPr>
              <w:t xml:space="preserve">  </w:t>
            </w:r>
          </w:p>
        </w:tc>
        <w:tc>
          <w:tcPr>
            <w:tcW w:w="675" w:type="dxa"/>
            <w:tcBorders>
              <w:tl2br w:val="nil"/>
              <w:tr2bl w:val="nil"/>
            </w:tcBorders>
            <w:shd w:val="clear" w:color="auto" w:fill="FFFFFF"/>
            <w:noWrap/>
            <w:vAlign w:val="center"/>
          </w:tcPr>
          <w:p w14:paraId="20AC82EE">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700" w:type="dxa"/>
            <w:tcBorders>
              <w:tl2br w:val="nil"/>
              <w:tr2bl w:val="nil"/>
            </w:tcBorders>
            <w:shd w:val="clear" w:color="auto" w:fill="FFFFFF"/>
            <w:noWrap/>
            <w:vAlign w:val="center"/>
          </w:tcPr>
          <w:p w14:paraId="182B2468">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w:t>
            </w:r>
          </w:p>
        </w:tc>
        <w:tc>
          <w:tcPr>
            <w:tcW w:w="4488" w:type="dxa"/>
            <w:tcBorders>
              <w:tl2br w:val="nil"/>
              <w:tr2bl w:val="nil"/>
            </w:tcBorders>
            <w:shd w:val="clear" w:color="auto" w:fill="FFFFFF"/>
            <w:noWrap/>
            <w:vAlign w:val="center"/>
          </w:tcPr>
          <w:p w14:paraId="0A97FF3B">
            <w:pPr>
              <w:keepNext/>
              <w:keepLines w:val="0"/>
              <w:pageBreakBefore w:val="0"/>
              <w:widowControl w:val="0"/>
              <w:kinsoku/>
              <w:wordWrap/>
              <w:overflowPunct/>
              <w:topLinePunct w:val="0"/>
              <w:autoSpaceDE/>
              <w:autoSpaceDN/>
              <w:bidi w:val="0"/>
              <w:adjustRightInd/>
              <w:snapToGrid/>
              <w:jc w:val="center"/>
              <w:textAlignment w:val="center"/>
              <w:rPr>
                <w:color w:val="auto"/>
                <w:highlight w:val="none"/>
              </w:rPr>
            </w:pPr>
            <w:r>
              <w:rPr>
                <w:color w:val="auto"/>
                <w:highlight w:val="none"/>
              </w:rPr>
              <w:drawing>
                <wp:inline distT="0" distB="0" distL="114300" distR="114300">
                  <wp:extent cx="2581275" cy="1755140"/>
                  <wp:effectExtent l="0" t="0" r="9525" b="1651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14"/>
                          <a:srcRect l="17967" t="24670" r="39523" b="46426"/>
                          <a:stretch>
                            <a:fillRect/>
                          </a:stretch>
                        </pic:blipFill>
                        <pic:spPr>
                          <a:xfrm>
                            <a:off x="0" y="0"/>
                            <a:ext cx="2617104" cy="1779464"/>
                          </a:xfrm>
                          <a:prstGeom prst="rect">
                            <a:avLst/>
                          </a:prstGeom>
                          <a:noFill/>
                          <a:ln w="9525">
                            <a:noFill/>
                          </a:ln>
                        </pic:spPr>
                      </pic:pic>
                    </a:graphicData>
                  </a:graphic>
                </wp:inline>
              </w:drawing>
            </w:r>
          </w:p>
          <w:p w14:paraId="02D2B296">
            <w:pPr>
              <w:keepNext/>
              <w:keepLines w:val="0"/>
              <w:pageBreakBefore w:val="0"/>
              <w:widowControl w:val="0"/>
              <w:kinsoku/>
              <w:wordWrap/>
              <w:overflowPunct/>
              <w:topLinePunct w:val="0"/>
              <w:autoSpaceDE/>
              <w:autoSpaceDN/>
              <w:bidi w:val="0"/>
              <w:adjustRightInd/>
              <w:snapToGrid/>
              <w:jc w:val="center"/>
              <w:textAlignment w:val="center"/>
              <w:rPr>
                <w:rFonts w:hint="eastAsia"/>
                <w:color w:val="auto"/>
                <w:highlight w:val="none"/>
              </w:rPr>
            </w:pPr>
            <w:r>
              <w:rPr>
                <w:color w:val="auto"/>
                <w:highlight w:val="none"/>
              </w:rPr>
              <w:drawing>
                <wp:inline distT="0" distB="0" distL="114300" distR="114300">
                  <wp:extent cx="3067685" cy="1842770"/>
                  <wp:effectExtent l="0" t="0" r="18415" b="5080"/>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15"/>
                          <a:srcRect l="27923" t="28031" r="25695" b="51065"/>
                          <a:stretch>
                            <a:fillRect/>
                          </a:stretch>
                        </pic:blipFill>
                        <pic:spPr>
                          <a:xfrm>
                            <a:off x="0" y="0"/>
                            <a:ext cx="3090550" cy="1856669"/>
                          </a:xfrm>
                          <a:prstGeom prst="rect">
                            <a:avLst/>
                          </a:prstGeom>
                          <a:noFill/>
                          <a:ln w="9525">
                            <a:noFill/>
                          </a:ln>
                        </pic:spPr>
                      </pic:pic>
                    </a:graphicData>
                  </a:graphic>
                </wp:inline>
              </w:drawing>
            </w:r>
          </w:p>
        </w:tc>
      </w:tr>
      <w:tr w14:paraId="1806A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0" w:hRule="atLeast"/>
        </w:trPr>
        <w:tc>
          <w:tcPr>
            <w:tcW w:w="687" w:type="dxa"/>
            <w:tcBorders>
              <w:tl2br w:val="nil"/>
              <w:tr2bl w:val="nil"/>
            </w:tcBorders>
            <w:shd w:val="clear" w:color="auto" w:fill="FFFFFF"/>
            <w:noWrap/>
            <w:vAlign w:val="center"/>
          </w:tcPr>
          <w:p w14:paraId="21EA5737">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5</w:t>
            </w:r>
          </w:p>
        </w:tc>
        <w:tc>
          <w:tcPr>
            <w:tcW w:w="1113" w:type="dxa"/>
            <w:tcBorders>
              <w:tl2br w:val="nil"/>
              <w:tr2bl w:val="nil"/>
            </w:tcBorders>
            <w:shd w:val="clear" w:color="auto" w:fill="FFFFFF"/>
            <w:vAlign w:val="center"/>
          </w:tcPr>
          <w:p w14:paraId="042081CC">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茶水柜</w:t>
            </w:r>
          </w:p>
        </w:tc>
        <w:tc>
          <w:tcPr>
            <w:tcW w:w="7387" w:type="dxa"/>
            <w:tcBorders>
              <w:tl2br w:val="nil"/>
              <w:tr2bl w:val="nil"/>
            </w:tcBorders>
            <w:shd w:val="clear" w:color="auto" w:fill="FFFFFF"/>
            <w:vAlign w:val="center"/>
          </w:tcPr>
          <w:p w14:paraId="32A8F37C">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1、规格：尺寸不小于长800mm，深400mm，高800mm（±50mm）</w:t>
            </w:r>
          </w:p>
          <w:p w14:paraId="1F137576">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宋体"/>
                <w:color w:val="auto"/>
                <w:spacing w:val="0"/>
                <w:position w:val="0"/>
                <w:sz w:val="21"/>
                <w:szCs w:val="21"/>
                <w:highlight w:val="none"/>
              </w:rPr>
              <w:t>★</w:t>
            </w:r>
            <w:r>
              <w:rPr>
                <w:rFonts w:hint="eastAsia" w:ascii="宋体" w:hAnsi="宋体" w:cs="宋体"/>
                <w:color w:val="auto"/>
                <w:szCs w:val="21"/>
                <w:highlight w:val="none"/>
              </w:rPr>
              <w:t>2、基材：选用优等绿色环保型中密度纤维板，内结合强度≥0.45MPa，甲醛释放量符合GB18580-2017标准。</w:t>
            </w:r>
          </w:p>
          <w:p w14:paraId="5A720A7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3、木皮：胡桃木皮贴面，经过7-9道涂研工艺处理，具有防潮、强度大、韧性好、耐磨损、抛光性好、木纹清晰。</w:t>
            </w:r>
          </w:p>
          <w:p w14:paraId="52E9A295">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4、油漆：环保PU净味漆，绿色环保，五底三面，透明度高，色泽柔和，手感良好。</w:t>
            </w:r>
          </w:p>
          <w:p w14:paraId="187F485D">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5、粘胶：高级环保胶粘剂。</w:t>
            </w:r>
          </w:p>
          <w:p w14:paraId="09790685">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6、配件：优质五金配件。</w:t>
            </w:r>
          </w:p>
          <w:p w14:paraId="0795C316">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b/>
                <w:bCs/>
                <w:color w:val="auto"/>
                <w:szCs w:val="21"/>
                <w:highlight w:val="none"/>
              </w:rPr>
              <w:t>7、</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1E17971A">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700" w:type="dxa"/>
            <w:tcBorders>
              <w:tl2br w:val="nil"/>
              <w:tr2bl w:val="nil"/>
            </w:tcBorders>
            <w:shd w:val="clear" w:color="auto" w:fill="FFFFFF"/>
            <w:noWrap/>
            <w:vAlign w:val="center"/>
          </w:tcPr>
          <w:p w14:paraId="29ACFB14">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w:t>
            </w:r>
          </w:p>
        </w:tc>
        <w:tc>
          <w:tcPr>
            <w:tcW w:w="4488" w:type="dxa"/>
            <w:tcBorders>
              <w:tl2br w:val="nil"/>
              <w:tr2bl w:val="nil"/>
            </w:tcBorders>
            <w:shd w:val="clear" w:color="auto" w:fill="FFFFFF"/>
            <w:noWrap/>
            <w:vAlign w:val="center"/>
          </w:tcPr>
          <w:p w14:paraId="5DB40914">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color w:val="auto"/>
                <w:highlight w:val="none"/>
              </w:rPr>
              <w:drawing>
                <wp:inline distT="0" distB="0" distL="0" distR="0">
                  <wp:extent cx="2027555" cy="1707515"/>
                  <wp:effectExtent l="0" t="0" r="1079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2027555" cy="1707515"/>
                          </a:xfrm>
                          <a:prstGeom prst="rect">
                            <a:avLst/>
                          </a:prstGeom>
                        </pic:spPr>
                      </pic:pic>
                    </a:graphicData>
                  </a:graphic>
                </wp:inline>
              </w:drawing>
            </w:r>
            <w:r>
              <w:rPr>
                <w:color w:val="auto"/>
                <w:highlight w:val="none"/>
              </w:rPr>
              <w:drawing>
                <wp:inline distT="0" distB="0" distL="0" distR="0">
                  <wp:extent cx="1983105" cy="1783715"/>
                  <wp:effectExtent l="0" t="0" r="17145" b="698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83105" cy="1783715"/>
                          </a:xfrm>
                          <a:prstGeom prst="rect">
                            <a:avLst/>
                          </a:prstGeom>
                          <a:noFill/>
                          <a:ln>
                            <a:noFill/>
                          </a:ln>
                        </pic:spPr>
                      </pic:pic>
                    </a:graphicData>
                  </a:graphic>
                </wp:inline>
              </w:drawing>
            </w:r>
          </w:p>
        </w:tc>
      </w:tr>
      <w:tr w14:paraId="6AA34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775D376C">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 w:val="22"/>
                <w:szCs w:val="22"/>
                <w:highlight w:val="none"/>
                <w:lang w:val="en-US" w:eastAsia="zh-CN" w:bidi="ar"/>
              </w:rPr>
              <w:t>6</w:t>
            </w:r>
          </w:p>
        </w:tc>
        <w:tc>
          <w:tcPr>
            <w:tcW w:w="1113" w:type="dxa"/>
            <w:tcBorders>
              <w:tl2br w:val="nil"/>
              <w:tr2bl w:val="nil"/>
            </w:tcBorders>
            <w:shd w:val="clear" w:color="auto" w:fill="FFFFFF"/>
            <w:vAlign w:val="center"/>
          </w:tcPr>
          <w:p w14:paraId="6E1323FF">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办公桌2</w:t>
            </w:r>
          </w:p>
        </w:tc>
        <w:tc>
          <w:tcPr>
            <w:tcW w:w="7387" w:type="dxa"/>
            <w:tcBorders>
              <w:tl2br w:val="nil"/>
              <w:tr2bl w:val="nil"/>
            </w:tcBorders>
            <w:shd w:val="clear" w:color="auto" w:fill="FFFFFF"/>
            <w:vAlign w:val="center"/>
          </w:tcPr>
          <w:p w14:paraId="39CC2444">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办公桌规格：不小于长1500mm*宽800mm*高800mm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±100mm</w:t>
            </w:r>
            <w:r>
              <w:rPr>
                <w:rFonts w:hint="eastAsia"/>
                <w:color w:val="auto"/>
                <w:sz w:val="21"/>
                <w:szCs w:val="21"/>
                <w:highlight w:val="none"/>
                <w:lang w:eastAsia="zh-CN"/>
              </w:rPr>
              <w:t>）</w:t>
            </w:r>
          </w:p>
          <w:p w14:paraId="4116067F">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1、板材：桌面板及主材需采用优质环保三聚氰胺板，环保等级达到E1级，耐磨、耐脏、耐高温， 质量需符合GB 18580-2017和GB/T15102-2017标准，静曲强度、内结合强度、表面胶合强度、含水率、握螺钉力、表面耐划痕、表面耐磨、表面耐香烟灼烧等指标需符合检测标准，表面耐污染腐蚀需达到五级，板材密度≥0.63g/cm³，板材厚度≥5cm,板材握螺钉力（板面≥1600N、板边≥1000N），板材环保等级必须达到 GB/T 39600 - 2021，甲醛含量≤0.025mg/m³ ；</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ascii="宋体" w:hAnsi="宋体" w:cs="宋体"/>
                <w:b/>
                <w:bCs/>
                <w:color w:val="auto"/>
                <w:szCs w:val="21"/>
                <w:highlight w:val="none"/>
              </w:rPr>
              <w:t>提供具有</w:t>
            </w:r>
            <w:r>
              <w:rPr>
                <w:rFonts w:hint="eastAsia" w:ascii="宋体" w:hAnsi="宋体" w:cs="宋体"/>
                <w:b/>
                <w:bCs/>
                <w:color w:val="auto"/>
                <w:szCs w:val="21"/>
                <w:highlight w:val="none"/>
                <w:lang w:eastAsia="zh-CN"/>
              </w:rPr>
              <w:t>第三方检测机构</w:t>
            </w:r>
            <w:r>
              <w:rPr>
                <w:rFonts w:ascii="宋体" w:hAnsi="宋体" w:cs="宋体"/>
                <w:b/>
                <w:bCs/>
                <w:color w:val="auto"/>
                <w:szCs w:val="21"/>
                <w:highlight w:val="none"/>
              </w:rPr>
              <w:t>出具的带CMA或CNAS标识的“桌面板”检测报告扫描件，符合 GB/T 16422.3-2022 标准，检测项目至少包含：有害物质（苯、甲苯、二甲苯、TVOC、可迁移元素）未检出，甲醛释放量≤0.025mg/m³，外观质量要求、理化性能（吸水厚度膨胀率≤12%、静曲强度≥24MPa）、重金属元素含量、荧光紫外灯测试合格</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w:t>
            </w:r>
            <w:r>
              <w:rPr>
                <w:rFonts w:ascii="宋体" w:hAnsi="宋体" w:cs="宋体"/>
                <w:color w:val="auto"/>
                <w:szCs w:val="21"/>
                <w:highlight w:val="none"/>
              </w:rPr>
              <w:t xml:space="preserve">  </w:t>
            </w:r>
          </w:p>
          <w:p w14:paraId="7999FBE2">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2、热熔胶：采用优质环保热熔胶，质量需符合GB 18583-2008，总挥发性有机物≤3g/kg；</w:t>
            </w:r>
          </w:p>
          <w:p w14:paraId="4A6987B2">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3、五金配件：需采用优质五金配件，导轨、门铰、锁具、三合一等五金配件，质量需符合QB/T3827-1999（2009）和QB/T3832-1999(2009)标准；</w:t>
            </w:r>
          </w:p>
          <w:p w14:paraId="10D4C0A7">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rPr>
            </w:pPr>
            <w:r>
              <w:rPr>
                <w:rFonts w:ascii="宋体" w:hAnsi="宋体" w:cs="宋体"/>
                <w:color w:val="auto"/>
                <w:szCs w:val="21"/>
                <w:highlight w:val="none"/>
              </w:rPr>
              <w:t>4、封边带：需采用优质同色PVC封边条，厚度≥2.5mm，表面光滑，封边严密、平整，质量需符合QB/T 4463-2013标准，邻苯二甲酸酯(DBP、BBP、DEHP、DNOP、DINP和DIDP )≤0.001%，不含甲醛</w:t>
            </w:r>
            <w:r>
              <w:rPr>
                <w:rFonts w:hint="eastAsia" w:ascii="宋体" w:hAnsi="宋体" w:cs="宋体"/>
                <w:color w:val="auto"/>
                <w:szCs w:val="21"/>
                <w:highlight w:val="none"/>
              </w:rPr>
              <w:t>；</w:t>
            </w:r>
          </w:p>
          <w:p w14:paraId="319D959D">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b/>
                <w:bCs/>
                <w:color w:val="auto"/>
                <w:szCs w:val="21"/>
                <w:highlight w:val="none"/>
                <w:lang w:eastAsia="zh-CN"/>
              </w:rPr>
            </w:pPr>
            <w:r>
              <w:rPr>
                <w:rFonts w:ascii="宋体" w:hAnsi="宋体" w:cs="宋体"/>
                <w:b/>
                <w:bCs/>
                <w:color w:val="auto"/>
                <w:szCs w:val="21"/>
                <w:highlight w:val="none"/>
              </w:rPr>
              <w:t>5、</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p w14:paraId="724E19C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val="0"/>
                <w:bCs w:val="0"/>
                <w:color w:val="auto"/>
                <w:szCs w:val="21"/>
                <w:highlight w:val="none"/>
              </w:rPr>
              <w:t>6、实际根据招标人需求，</w:t>
            </w:r>
            <w:r>
              <w:rPr>
                <w:rFonts w:hint="eastAsia" w:ascii="宋体" w:hAnsi="宋体" w:cs="宋体"/>
                <w:b w:val="0"/>
                <w:bCs w:val="0"/>
                <w:color w:val="auto"/>
                <w:szCs w:val="21"/>
                <w:highlight w:val="none"/>
                <w:lang w:val="en-US" w:eastAsia="zh-CN"/>
              </w:rPr>
              <w:t>经移动摆放后可直接</w:t>
            </w:r>
            <w:r>
              <w:rPr>
                <w:rFonts w:ascii="宋体" w:hAnsi="宋体" w:cs="宋体"/>
                <w:b w:val="0"/>
                <w:bCs w:val="0"/>
                <w:color w:val="auto"/>
                <w:szCs w:val="21"/>
                <w:highlight w:val="none"/>
              </w:rPr>
              <w:t>拼接成双人或四人位</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拼接后须整体协调</w:t>
            </w:r>
            <w:r>
              <w:rPr>
                <w:rFonts w:hint="eastAsia" w:ascii="宋体" w:hAnsi="宋体" w:cs="宋体"/>
                <w:b w:val="0"/>
                <w:bCs w:val="0"/>
                <w:color w:val="auto"/>
                <w:szCs w:val="21"/>
                <w:highlight w:val="none"/>
                <w:lang w:eastAsia="zh-CN"/>
              </w:rPr>
              <w:t>）</w:t>
            </w:r>
            <w:r>
              <w:rPr>
                <w:rFonts w:ascii="宋体" w:hAnsi="宋体" w:cs="宋体"/>
                <w:b w:val="0"/>
                <w:bCs w:val="0"/>
                <w:color w:val="auto"/>
                <w:szCs w:val="21"/>
                <w:highlight w:val="none"/>
              </w:rPr>
              <w:t>，单套桌子配备2个斜5孔插座。</w:t>
            </w:r>
            <w:r>
              <w:rPr>
                <w:rFonts w:ascii="宋体" w:hAnsi="宋体" w:cs="宋体"/>
                <w:b/>
                <w:bCs/>
                <w:color w:val="auto"/>
                <w:szCs w:val="21"/>
                <w:highlight w:val="none"/>
              </w:rPr>
              <w:t xml:space="preserve"> </w:t>
            </w:r>
          </w:p>
        </w:tc>
        <w:tc>
          <w:tcPr>
            <w:tcW w:w="675" w:type="dxa"/>
            <w:tcBorders>
              <w:tl2br w:val="nil"/>
              <w:tr2bl w:val="nil"/>
            </w:tcBorders>
            <w:shd w:val="clear" w:color="auto" w:fill="FFFFFF"/>
            <w:noWrap/>
            <w:vAlign w:val="center"/>
          </w:tcPr>
          <w:p w14:paraId="0483EED0">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700" w:type="dxa"/>
            <w:tcBorders>
              <w:tl2br w:val="nil"/>
              <w:tr2bl w:val="nil"/>
            </w:tcBorders>
            <w:shd w:val="clear" w:color="auto" w:fill="FFFFFF"/>
            <w:noWrap/>
            <w:vAlign w:val="center"/>
          </w:tcPr>
          <w:p w14:paraId="63CA3C87">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 w:val="22"/>
                <w:szCs w:val="22"/>
                <w:highlight w:val="none"/>
                <w:lang w:bidi="ar"/>
              </w:rPr>
              <w:t>27</w:t>
            </w:r>
          </w:p>
        </w:tc>
        <w:tc>
          <w:tcPr>
            <w:tcW w:w="4488" w:type="dxa"/>
            <w:tcBorders>
              <w:tl2br w:val="nil"/>
              <w:tr2bl w:val="nil"/>
            </w:tcBorders>
            <w:shd w:val="clear" w:color="auto" w:fill="FFFFFF"/>
            <w:noWrap/>
            <w:vAlign w:val="center"/>
          </w:tcPr>
          <w:p w14:paraId="5C5BF8FC">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ascii="宋体" w:hAnsi="宋体" w:cs="宋体"/>
                <w:b/>
                <w:bCs/>
                <w:color w:val="auto"/>
                <w:szCs w:val="21"/>
                <w:highlight w:val="none"/>
              </w:rPr>
              <w:drawing>
                <wp:inline distT="0" distB="0" distL="114300" distR="114300">
                  <wp:extent cx="2992120" cy="2243455"/>
                  <wp:effectExtent l="0" t="0" r="17780" b="4445"/>
                  <wp:docPr id="35" name="图片 35" descr="6ddae7bf97832731389ea418d9e0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ddae7bf97832731389ea418d9e0f2e"/>
                          <pic:cNvPicPr>
                            <a:picLocks noChangeAspect="1"/>
                          </pic:cNvPicPr>
                        </pic:nvPicPr>
                        <pic:blipFill>
                          <a:blip r:embed="rId18"/>
                          <a:stretch>
                            <a:fillRect/>
                          </a:stretch>
                        </pic:blipFill>
                        <pic:spPr>
                          <a:xfrm>
                            <a:off x="0" y="0"/>
                            <a:ext cx="2992120" cy="2243455"/>
                          </a:xfrm>
                          <a:prstGeom prst="rect">
                            <a:avLst/>
                          </a:prstGeom>
                        </pic:spPr>
                      </pic:pic>
                    </a:graphicData>
                  </a:graphic>
                </wp:inline>
              </w:drawing>
            </w:r>
          </w:p>
        </w:tc>
      </w:tr>
      <w:tr w14:paraId="38C2E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29804762">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7</w:t>
            </w:r>
          </w:p>
        </w:tc>
        <w:tc>
          <w:tcPr>
            <w:tcW w:w="1113" w:type="dxa"/>
            <w:tcBorders>
              <w:tl2br w:val="nil"/>
              <w:tr2bl w:val="nil"/>
            </w:tcBorders>
            <w:shd w:val="clear" w:color="auto" w:fill="FFFFFF"/>
            <w:vAlign w:val="center"/>
          </w:tcPr>
          <w:p w14:paraId="74063396">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办公</w:t>
            </w:r>
            <w:r>
              <w:rPr>
                <w:rFonts w:hint="eastAsia" w:ascii="宋体" w:hAnsi="宋体" w:cs="宋体"/>
                <w:color w:val="auto"/>
                <w:kern w:val="0"/>
                <w:sz w:val="22"/>
                <w:szCs w:val="22"/>
                <w:highlight w:val="none"/>
                <w:lang w:val="en-US" w:eastAsia="zh-CN" w:bidi="ar"/>
              </w:rPr>
              <w:t>椅</w:t>
            </w:r>
            <w:r>
              <w:rPr>
                <w:rFonts w:hint="eastAsia" w:ascii="宋体" w:hAnsi="宋体" w:cs="宋体"/>
                <w:color w:val="auto"/>
                <w:kern w:val="0"/>
                <w:sz w:val="22"/>
                <w:szCs w:val="22"/>
                <w:highlight w:val="none"/>
                <w:lang w:bidi="ar"/>
              </w:rPr>
              <w:t>2</w:t>
            </w:r>
          </w:p>
        </w:tc>
        <w:tc>
          <w:tcPr>
            <w:tcW w:w="7387" w:type="dxa"/>
            <w:tcBorders>
              <w:tl2br w:val="nil"/>
              <w:tr2bl w:val="nil"/>
            </w:tcBorders>
            <w:shd w:val="clear" w:color="auto" w:fill="FFFFFF"/>
            <w:vAlign w:val="center"/>
          </w:tcPr>
          <w:p w14:paraId="2CA8A4E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框架材质：采用金属材质，坚固耐用，承重能力≥200kg，具备良好的防腐蚀、防锈性能。</w:t>
            </w:r>
          </w:p>
          <w:p w14:paraId="274CFF27">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座面与靠背：座面和靠背主体为黑色，座面采用透气网布或优质海绵填充，靠背为网布材质，保证透气性，网布密度≥200目，不易变形。</w:t>
            </w:r>
          </w:p>
          <w:p w14:paraId="7A54A0FF">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扶手：固定扶手，与座椅整体风格协调，材质与框架一致，表面光滑无毛刺。</w:t>
            </w:r>
          </w:p>
          <w:p w14:paraId="75F56DB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结构设计：采用简约的框架式结构，线条流畅，符合人体工程学设计，能有效缓解久坐疲劳。</w:t>
            </w:r>
          </w:p>
          <w:p w14:paraId="679B32F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尺寸要求：座高范围在 40cm - 48cm ，座宽≥45cm，座深≥40cm ，靠背高度≥50cm 。</w:t>
            </w:r>
          </w:p>
          <w:p w14:paraId="77CE6551">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颜色：整体颜色为黑色，颜色均匀，无明显色差。</w:t>
            </w:r>
          </w:p>
          <w:p w14:paraId="2F344422">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环保要求：所用材料</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lang w:eastAsia="zh-CN"/>
              </w:rPr>
              <w:t>无异味，有害物质释放量达标。</w:t>
            </w:r>
          </w:p>
          <w:p w14:paraId="62426BD0">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r>
              <w:rPr>
                <w:rFonts w:ascii="宋体" w:hAnsi="宋体" w:cs="宋体"/>
                <w:b/>
                <w:bCs/>
                <w:color w:val="auto"/>
                <w:szCs w:val="21"/>
                <w:highlight w:val="none"/>
              </w:rPr>
              <w:t xml:space="preserve"> </w:t>
            </w:r>
          </w:p>
        </w:tc>
        <w:tc>
          <w:tcPr>
            <w:tcW w:w="675" w:type="dxa"/>
            <w:tcBorders>
              <w:tl2br w:val="nil"/>
              <w:tr2bl w:val="nil"/>
            </w:tcBorders>
            <w:shd w:val="clear" w:color="auto" w:fill="FFFFFF"/>
            <w:noWrap/>
            <w:vAlign w:val="center"/>
          </w:tcPr>
          <w:p w14:paraId="7829C903">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700" w:type="dxa"/>
            <w:tcBorders>
              <w:tl2br w:val="nil"/>
              <w:tr2bl w:val="nil"/>
            </w:tcBorders>
            <w:shd w:val="clear" w:color="auto" w:fill="FFFFFF"/>
            <w:noWrap/>
            <w:vAlign w:val="center"/>
          </w:tcPr>
          <w:p w14:paraId="677C52E7">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27</w:t>
            </w:r>
          </w:p>
        </w:tc>
        <w:tc>
          <w:tcPr>
            <w:tcW w:w="4488" w:type="dxa"/>
            <w:tcBorders>
              <w:tl2br w:val="nil"/>
              <w:tr2bl w:val="nil"/>
            </w:tcBorders>
            <w:shd w:val="clear" w:color="auto" w:fill="FFFFFF"/>
            <w:noWrap/>
            <w:vAlign w:val="center"/>
          </w:tcPr>
          <w:p w14:paraId="0AF966F0">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ascii="宋体" w:hAnsi="宋体" w:cs="宋体"/>
                <w:b/>
                <w:bCs/>
                <w:color w:val="auto"/>
                <w:szCs w:val="21"/>
                <w:highlight w:val="none"/>
              </w:rPr>
              <w:drawing>
                <wp:inline distT="0" distB="0" distL="114300" distR="114300">
                  <wp:extent cx="2052320" cy="2444115"/>
                  <wp:effectExtent l="0" t="0" r="5080" b="13335"/>
                  <wp:docPr id="36" name="图片 36" descr="78e66b5dd106a15ce8bd9c55fdea6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8e66b5dd106a15ce8bd9c55fdea61ad"/>
                          <pic:cNvPicPr>
                            <a:picLocks noChangeAspect="1"/>
                          </pic:cNvPicPr>
                        </pic:nvPicPr>
                        <pic:blipFill>
                          <a:blip r:embed="rId19"/>
                          <a:stretch>
                            <a:fillRect/>
                          </a:stretch>
                        </pic:blipFill>
                        <pic:spPr>
                          <a:xfrm>
                            <a:off x="0" y="0"/>
                            <a:ext cx="2052320" cy="2444115"/>
                          </a:xfrm>
                          <a:prstGeom prst="rect">
                            <a:avLst/>
                          </a:prstGeom>
                        </pic:spPr>
                      </pic:pic>
                    </a:graphicData>
                  </a:graphic>
                </wp:inline>
              </w:drawing>
            </w:r>
          </w:p>
        </w:tc>
      </w:tr>
      <w:tr w14:paraId="19B2A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3B952948">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8</w:t>
            </w:r>
          </w:p>
        </w:tc>
        <w:tc>
          <w:tcPr>
            <w:tcW w:w="1113" w:type="dxa"/>
            <w:tcBorders>
              <w:tl2br w:val="nil"/>
              <w:tr2bl w:val="nil"/>
            </w:tcBorders>
            <w:shd w:val="clear" w:color="auto" w:fill="FFFFFF"/>
            <w:vAlign w:val="center"/>
          </w:tcPr>
          <w:p w14:paraId="05A588ED">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系办座椅</w:t>
            </w:r>
          </w:p>
        </w:tc>
        <w:tc>
          <w:tcPr>
            <w:tcW w:w="7387" w:type="dxa"/>
            <w:tcBorders>
              <w:tl2br w:val="nil"/>
              <w:tr2bl w:val="nil"/>
            </w:tcBorders>
            <w:shd w:val="clear" w:color="auto" w:fill="FFFFFF"/>
            <w:vAlign w:val="center"/>
          </w:tcPr>
          <w:p w14:paraId="4C5E7FD7">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座椅类型及设计：专业人体工学办公椅，依据人体脊柱自然曲线设计，可有效分散身体压力，确保舒适久坐，适用于家庭及企业办公环境。</w:t>
            </w:r>
          </w:p>
          <w:p w14:paraId="4AAD54B5">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rPr>
            </w:pPr>
            <w:r>
              <w:rPr>
                <w:rFonts w:hint="eastAsia" w:ascii="宋体" w:hAnsi="宋体" w:eastAsia="宋体" w:cs="宋体"/>
                <w:color w:val="auto"/>
                <w:spacing w:val="0"/>
                <w:position w:val="0"/>
                <w:sz w:val="21"/>
                <w:szCs w:val="21"/>
                <w:highlight w:val="none"/>
              </w:rPr>
              <w:t>★</w:t>
            </w: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材质要求：坐垫：采用灰胶灰色海绵材质，经检测具有高回弹、高密度特性，久坐不易变形，表面材质亲肤透气、耐磨易清洁。脚架：电镀材质脚架，通过相关检测，表面光滑无瑕疵，具备良好防锈、耐腐蚀性能。</w:t>
            </w:r>
          </w:p>
          <w:p w14:paraId="5AC885E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功能要求：可躺角度：具备可调节躺卧功能，最大可躺角度达165°，调节过程平稳顺滑，不同躺卧角度下均能保持稳固。升降功能：可通过座椅下方操控装置调节高度，调节范围满足不同身高人群需求，升降过程顺畅，无卡顿异响。旋转功能：支持360°自由旋转，旋转过程平稳灵活，旋转轴坚固耐用，可承受日常频繁使用。</w:t>
            </w:r>
          </w:p>
          <w:p w14:paraId="19A96A6C">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b w:val="0"/>
                <w:bCs w:val="0"/>
                <w:i w:val="0"/>
                <w:iCs w:val="0"/>
                <w:color w:val="auto"/>
                <w:kern w:val="0"/>
                <w:sz w:val="24"/>
                <w:szCs w:val="24"/>
                <w:highlight w:val="none"/>
                <w:u w:val="none"/>
                <w:lang w:val="en-US" w:eastAsia="zh-CN" w:bidi="ar"/>
              </w:rPr>
              <w:t>●</w:t>
            </w:r>
            <w:r>
              <w:rPr>
                <w:rFonts w:hint="eastAsia" w:ascii="宋体" w:hAnsi="宋体" w:cs="宋体"/>
                <w:color w:val="auto"/>
                <w:szCs w:val="21"/>
                <w:highlight w:val="none"/>
                <w:lang w:val="en-US" w:eastAsia="zh-CN"/>
              </w:rPr>
              <w:t>4、距座面前沿60mm部位加载600N，水平拉力20N，保持5s，无倾翻；扶手加载350N，座面加载250N，水平拉力20N，保持5s，无倾翻；座面加载600N，椅背高300mm处水平拉力FN，保持5s，无倾翻；</w:t>
            </w:r>
          </w:p>
          <w:p w14:paraId="118DEE48">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配件：配备可灵活调节角度与长度的搁脚，方便使用者伸展腿部、放松身体。</w:t>
            </w:r>
          </w:p>
          <w:p w14:paraId="2AB0B68E">
            <w:pPr>
              <w:keepNext/>
              <w:keepLines w:val="0"/>
              <w:pageBreakBefore w:val="0"/>
              <w:widowControl w:val="0"/>
              <w:kinsoku/>
              <w:wordWrap/>
              <w:overflowPunct/>
              <w:topLinePunct w:val="0"/>
              <w:autoSpaceDE/>
              <w:autoSpaceDN/>
              <w:bidi w:val="0"/>
              <w:adjustRightInd/>
              <w:snapToGrid/>
              <w:jc w:val="left"/>
              <w:textAlignment w:val="center"/>
              <w:rPr>
                <w:rFonts w:ascii="宋体" w:hAnsi="宋体" w:cs="宋体"/>
                <w:b/>
                <w:bCs/>
                <w:color w:val="auto"/>
                <w:szCs w:val="21"/>
                <w:highlight w:val="none"/>
              </w:rPr>
            </w:pPr>
          </w:p>
        </w:tc>
        <w:tc>
          <w:tcPr>
            <w:tcW w:w="675" w:type="dxa"/>
            <w:tcBorders>
              <w:tl2br w:val="nil"/>
              <w:tr2bl w:val="nil"/>
            </w:tcBorders>
            <w:shd w:val="clear" w:color="auto" w:fill="FFFFFF"/>
            <w:noWrap/>
            <w:vAlign w:val="center"/>
          </w:tcPr>
          <w:p w14:paraId="257C350B">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个</w:t>
            </w:r>
          </w:p>
        </w:tc>
        <w:tc>
          <w:tcPr>
            <w:tcW w:w="700" w:type="dxa"/>
            <w:tcBorders>
              <w:tl2br w:val="nil"/>
              <w:tr2bl w:val="nil"/>
            </w:tcBorders>
            <w:shd w:val="clear" w:color="auto" w:fill="FFFFFF"/>
            <w:noWrap/>
            <w:vAlign w:val="center"/>
          </w:tcPr>
          <w:p w14:paraId="47B13603">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16</w:t>
            </w:r>
          </w:p>
        </w:tc>
        <w:tc>
          <w:tcPr>
            <w:tcW w:w="4488" w:type="dxa"/>
            <w:tcBorders>
              <w:tl2br w:val="nil"/>
              <w:tr2bl w:val="nil"/>
            </w:tcBorders>
            <w:shd w:val="clear" w:color="auto" w:fill="FFFFFF"/>
            <w:noWrap/>
            <w:vAlign w:val="center"/>
          </w:tcPr>
          <w:p w14:paraId="5558ED04">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val="en-US" w:eastAsia="zh-CN" w:bidi="ar"/>
              </w:rPr>
            </w:pPr>
            <w:r>
              <w:rPr>
                <w:rFonts w:ascii="宋体" w:hAnsi="宋体" w:cs="宋体"/>
                <w:b/>
                <w:bCs/>
                <w:color w:val="auto"/>
                <w:szCs w:val="21"/>
                <w:highlight w:val="none"/>
              </w:rPr>
              <w:drawing>
                <wp:inline distT="0" distB="0" distL="114300" distR="114300">
                  <wp:extent cx="1431925" cy="2167255"/>
                  <wp:effectExtent l="0" t="0" r="15875" b="4445"/>
                  <wp:docPr id="37" name="图片 37" descr="124fad290200b1639acbf1e3e627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24fad290200b1639acbf1e3e6277b8"/>
                          <pic:cNvPicPr>
                            <a:picLocks noChangeAspect="1"/>
                          </pic:cNvPicPr>
                        </pic:nvPicPr>
                        <pic:blipFill>
                          <a:blip r:embed="rId20"/>
                          <a:srcRect r="18715" b="7767"/>
                          <a:stretch>
                            <a:fillRect/>
                          </a:stretch>
                        </pic:blipFill>
                        <pic:spPr>
                          <a:xfrm>
                            <a:off x="0" y="0"/>
                            <a:ext cx="1431925" cy="2167255"/>
                          </a:xfrm>
                          <a:prstGeom prst="rect">
                            <a:avLst/>
                          </a:prstGeom>
                        </pic:spPr>
                      </pic:pic>
                    </a:graphicData>
                  </a:graphic>
                </wp:inline>
              </w:drawing>
            </w:r>
          </w:p>
        </w:tc>
      </w:tr>
      <w:tr w14:paraId="13C58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687" w:type="dxa"/>
            <w:tcBorders>
              <w:tl2br w:val="nil"/>
              <w:tr2bl w:val="nil"/>
            </w:tcBorders>
            <w:shd w:val="clear" w:color="auto" w:fill="FFFFFF"/>
            <w:noWrap/>
            <w:vAlign w:val="center"/>
          </w:tcPr>
          <w:p w14:paraId="2B652564">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9</w:t>
            </w:r>
          </w:p>
        </w:tc>
        <w:tc>
          <w:tcPr>
            <w:tcW w:w="1113" w:type="dxa"/>
            <w:tcBorders>
              <w:tl2br w:val="nil"/>
              <w:tr2bl w:val="nil"/>
            </w:tcBorders>
            <w:shd w:val="clear" w:color="auto" w:fill="FFFFFF"/>
            <w:vAlign w:val="center"/>
          </w:tcPr>
          <w:p w14:paraId="0300437B">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书柜2</w:t>
            </w:r>
          </w:p>
        </w:tc>
        <w:tc>
          <w:tcPr>
            <w:tcW w:w="7387" w:type="dxa"/>
            <w:tcBorders>
              <w:tl2br w:val="nil"/>
              <w:tr2bl w:val="nil"/>
            </w:tcBorders>
            <w:shd w:val="clear" w:color="auto" w:fill="FFFFFF"/>
            <w:vAlign w:val="center"/>
          </w:tcPr>
          <w:p w14:paraId="4F165B09">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1、规格：不低于2000</w:t>
            </w:r>
            <w:r>
              <w:rPr>
                <w:rFonts w:hint="eastAsia" w:ascii="宋体" w:hAnsi="宋体" w:cs="宋体"/>
                <w:color w:val="auto"/>
                <w:szCs w:val="21"/>
                <w:highlight w:val="none"/>
                <w:lang w:val="en-US" w:eastAsia="zh-CN"/>
              </w:rPr>
              <w:t>mm</w:t>
            </w:r>
            <w:r>
              <w:rPr>
                <w:rFonts w:ascii="宋体" w:hAnsi="宋体" w:cs="宋体"/>
                <w:color w:val="auto"/>
                <w:szCs w:val="21"/>
                <w:highlight w:val="none"/>
              </w:rPr>
              <w:t>*400</w:t>
            </w:r>
            <w:r>
              <w:rPr>
                <w:rFonts w:hint="eastAsia" w:ascii="宋体" w:hAnsi="宋体" w:cs="宋体"/>
                <w:color w:val="auto"/>
                <w:szCs w:val="21"/>
                <w:highlight w:val="none"/>
                <w:lang w:val="en-US" w:eastAsia="zh-CN"/>
              </w:rPr>
              <w:t>mm</w:t>
            </w:r>
            <w:r>
              <w:rPr>
                <w:rFonts w:ascii="宋体" w:hAnsi="宋体" w:cs="宋体"/>
                <w:color w:val="auto"/>
                <w:szCs w:val="21"/>
                <w:highlight w:val="none"/>
              </w:rPr>
              <w:t>*2000mm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±100mm</w:t>
            </w:r>
            <w:r>
              <w:rPr>
                <w:rFonts w:hint="eastAsia"/>
                <w:color w:val="auto"/>
                <w:sz w:val="21"/>
                <w:szCs w:val="21"/>
                <w:highlight w:val="none"/>
                <w:lang w:eastAsia="zh-CN"/>
              </w:rPr>
              <w:t>）</w:t>
            </w:r>
          </w:p>
          <w:p w14:paraId="450BE177">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2、材质：主材采用E1级浸渍胶膜纸饰面刨花板，板材环保等级必须达到 GB/T 39600 - 2021，甲醛含量≤0.025mg/m³</w:t>
            </w:r>
            <w:r>
              <w:rPr>
                <w:rFonts w:hint="eastAsia" w:ascii="宋体" w:hAnsi="宋体" w:cs="宋体"/>
                <w:color w:val="auto"/>
                <w:szCs w:val="21"/>
                <w:highlight w:val="none"/>
                <w:lang w:eastAsia="zh-CN"/>
              </w:rPr>
              <w:t>，</w:t>
            </w:r>
            <w:r>
              <w:rPr>
                <w:rFonts w:ascii="宋体" w:hAnsi="宋体" w:cs="宋体"/>
                <w:color w:val="auto"/>
                <w:szCs w:val="21"/>
                <w:highlight w:val="none"/>
              </w:rPr>
              <w:t xml:space="preserve">表面耐冷热循环无裂纹、鼓泡、变色、起皱等，表面耐香烟灼烧达到 4 级以上，表面耐干热达 4 级以上，表面耐污染腐蚀达4级以上，表面耐龟裂达4级以上，表面耐水蒸气达4级以上，耐光色牢度灰度4级以上 </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ascii="宋体" w:hAnsi="宋体" w:cs="宋体"/>
                <w:b/>
                <w:bCs/>
                <w:color w:val="auto"/>
                <w:szCs w:val="21"/>
                <w:highlight w:val="none"/>
              </w:rPr>
              <w:t>提供所投产品具有</w:t>
            </w:r>
            <w:r>
              <w:rPr>
                <w:rFonts w:hint="eastAsia" w:ascii="宋体" w:hAnsi="宋体" w:cs="宋体"/>
                <w:b/>
                <w:bCs/>
                <w:color w:val="auto"/>
                <w:szCs w:val="21"/>
                <w:highlight w:val="none"/>
                <w:lang w:eastAsia="zh-CN"/>
              </w:rPr>
              <w:t>第三方检测机构</w:t>
            </w:r>
            <w:r>
              <w:rPr>
                <w:rFonts w:ascii="宋体" w:hAnsi="宋体" w:cs="宋体"/>
                <w:b/>
                <w:bCs/>
                <w:color w:val="auto"/>
                <w:szCs w:val="21"/>
                <w:highlight w:val="none"/>
              </w:rPr>
              <w:t>出具的带CMA或CNAS标识的刨花板检测报告扫描件</w:t>
            </w:r>
            <w:r>
              <w:rPr>
                <w:rFonts w:ascii="宋体" w:hAnsi="宋体" w:cs="宋体"/>
                <w:color w:val="auto"/>
                <w:szCs w:val="21"/>
                <w:highlight w:val="none"/>
              </w:rPr>
              <w:t>，检测内容至少须包含：静曲强度≥12MPa，弹性模量≥1700MPa，内结合强度≥0.4MPa，表面胶合强度≥0.6MPa,2h吸水厚度膨胀率≤5%，含水率≤9.5%，密度≥0.6g/cm²，板面握螺钉力≥1000N，板边握螺钉力≥800N</w:t>
            </w:r>
            <w:r>
              <w:rPr>
                <w:rFonts w:hint="eastAsia" w:ascii="宋体" w:hAnsi="宋体" w:cs="宋体"/>
                <w:b/>
                <w:bCs/>
                <w:color w:val="auto"/>
                <w:szCs w:val="21"/>
                <w:highlight w:val="none"/>
                <w:lang w:eastAsia="zh-CN"/>
              </w:rPr>
              <w:t>）</w:t>
            </w:r>
            <w:r>
              <w:rPr>
                <w:rFonts w:hint="eastAsia" w:ascii="宋体" w:hAnsi="宋体" w:cs="宋体"/>
                <w:color w:val="auto"/>
                <w:szCs w:val="21"/>
                <w:highlight w:val="none"/>
              </w:rPr>
              <w:t>；</w:t>
            </w:r>
          </w:p>
          <w:p w14:paraId="0AF21636">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3、封边：优质同色PVC封边，优质热熔胶，经自动调温热压机使板材粘连无丝无缝，在不同地区气温、湿度的变化中不受影响，能长期不变形、不开裂</w:t>
            </w:r>
            <w:r>
              <w:rPr>
                <w:rFonts w:hint="eastAsia" w:ascii="宋体" w:hAnsi="宋体" w:cs="宋体"/>
                <w:color w:val="auto"/>
                <w:szCs w:val="21"/>
                <w:highlight w:val="none"/>
              </w:rPr>
              <w:t>；</w:t>
            </w:r>
          </w:p>
          <w:p w14:paraId="7C2D99CF">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4、五金件：采用五金配件，产品用五金连接件拼接后整体显得紧密，间隙细小，保持适当间隙；优质三合一连接件</w:t>
            </w:r>
            <w:r>
              <w:rPr>
                <w:rFonts w:hint="eastAsia" w:ascii="宋体" w:hAnsi="宋体" w:cs="宋体"/>
                <w:color w:val="auto"/>
                <w:szCs w:val="21"/>
                <w:highlight w:val="none"/>
              </w:rPr>
              <w:t>；</w:t>
            </w:r>
          </w:p>
          <w:p w14:paraId="2F76D93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5、粘合剂材：环保胶粘剂</w:t>
            </w:r>
            <w:r>
              <w:rPr>
                <w:rFonts w:hint="eastAsia" w:ascii="宋体" w:hAnsi="宋体" w:cs="宋体"/>
                <w:color w:val="auto"/>
                <w:szCs w:val="21"/>
                <w:highlight w:val="none"/>
              </w:rPr>
              <w:t>；</w:t>
            </w:r>
          </w:p>
          <w:p w14:paraId="1DBE0F11">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6、柜门：玻璃材质柜门</w:t>
            </w:r>
            <w:r>
              <w:rPr>
                <w:rFonts w:hint="eastAsia" w:ascii="宋体" w:hAnsi="宋体" w:cs="宋体"/>
                <w:color w:val="auto"/>
                <w:szCs w:val="21"/>
                <w:highlight w:val="none"/>
              </w:rPr>
              <w:t>；</w:t>
            </w:r>
          </w:p>
          <w:p w14:paraId="3B95DA4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bCs/>
                <w:color w:val="auto"/>
                <w:szCs w:val="21"/>
                <w:highlight w:val="none"/>
              </w:rPr>
              <w:t>7、</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0B083396">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组</w:t>
            </w:r>
          </w:p>
        </w:tc>
        <w:tc>
          <w:tcPr>
            <w:tcW w:w="700" w:type="dxa"/>
            <w:tcBorders>
              <w:tl2br w:val="nil"/>
              <w:tr2bl w:val="nil"/>
            </w:tcBorders>
            <w:shd w:val="clear" w:color="auto" w:fill="FFFFFF"/>
            <w:noWrap/>
            <w:vAlign w:val="center"/>
          </w:tcPr>
          <w:p w14:paraId="11B4DC60">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ascii="宋体" w:hAnsi="宋体" w:cs="宋体"/>
                <w:color w:val="auto"/>
                <w:kern w:val="0"/>
                <w:sz w:val="22"/>
                <w:szCs w:val="22"/>
                <w:highlight w:val="none"/>
                <w:lang w:bidi="ar"/>
              </w:rPr>
              <w:t>24</w:t>
            </w:r>
          </w:p>
        </w:tc>
        <w:tc>
          <w:tcPr>
            <w:tcW w:w="4488" w:type="dxa"/>
            <w:tcBorders>
              <w:tl2br w:val="nil"/>
              <w:tr2bl w:val="nil"/>
            </w:tcBorders>
            <w:shd w:val="clear" w:color="auto" w:fill="FFFFFF"/>
            <w:noWrap/>
            <w:vAlign w:val="center"/>
          </w:tcPr>
          <w:p w14:paraId="486F4C25">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b/>
                <w:bCs/>
                <w:color w:val="auto"/>
                <w:szCs w:val="21"/>
                <w:highlight w:val="none"/>
              </w:rPr>
            </w:pPr>
            <w:r>
              <w:rPr>
                <w:rFonts w:ascii="宋体" w:hAnsi="宋体" w:cs="宋体"/>
                <w:b/>
                <w:bCs/>
                <w:color w:val="auto"/>
                <w:szCs w:val="21"/>
                <w:highlight w:val="none"/>
              </w:rPr>
              <w:drawing>
                <wp:inline distT="0" distB="0" distL="114300" distR="114300">
                  <wp:extent cx="2355215" cy="3027045"/>
                  <wp:effectExtent l="0" t="0" r="6985" b="1905"/>
                  <wp:docPr id="38" name="图片 38" descr="98a4a22a7456042ba8ccfd3ae0c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8a4a22a7456042ba8ccfd3ae0c3570"/>
                          <pic:cNvPicPr>
                            <a:picLocks noChangeAspect="1"/>
                          </pic:cNvPicPr>
                        </pic:nvPicPr>
                        <pic:blipFill>
                          <a:blip r:embed="rId21"/>
                          <a:srcRect r="33561"/>
                          <a:stretch>
                            <a:fillRect/>
                          </a:stretch>
                        </pic:blipFill>
                        <pic:spPr>
                          <a:xfrm>
                            <a:off x="0" y="0"/>
                            <a:ext cx="2355215" cy="3027045"/>
                          </a:xfrm>
                          <a:prstGeom prst="rect">
                            <a:avLst/>
                          </a:prstGeom>
                        </pic:spPr>
                      </pic:pic>
                    </a:graphicData>
                  </a:graphic>
                </wp:inline>
              </w:drawing>
            </w:r>
          </w:p>
          <w:p w14:paraId="39DC7856">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b/>
                <w:bCs/>
                <w:color w:val="auto"/>
                <w:szCs w:val="21"/>
                <w:highlight w:val="none"/>
              </w:rPr>
            </w:pPr>
            <w:r>
              <w:rPr>
                <w:color w:val="auto"/>
                <w:highlight w:val="none"/>
              </w:rPr>
              <w:drawing>
                <wp:inline distT="0" distB="0" distL="114300" distR="114300">
                  <wp:extent cx="2930525" cy="2360930"/>
                  <wp:effectExtent l="0" t="0" r="3175" b="1270"/>
                  <wp:docPr id="39" name="ID_16CD32ECBB694F19B5B6FBD74CDA2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D_16CD32ECBB694F19B5B6FBD74CDA21A1"/>
                          <pic:cNvPicPr>
                            <a:picLocks noChangeAspect="1"/>
                          </pic:cNvPicPr>
                        </pic:nvPicPr>
                        <pic:blipFill>
                          <a:blip r:embed="rId22"/>
                          <a:srcRect l="17130" t="16406" r="15453" b="46933"/>
                          <a:stretch>
                            <a:fillRect/>
                          </a:stretch>
                        </pic:blipFill>
                        <pic:spPr>
                          <a:xfrm>
                            <a:off x="0" y="0"/>
                            <a:ext cx="2930525" cy="2360930"/>
                          </a:xfrm>
                          <a:prstGeom prst="rect">
                            <a:avLst/>
                          </a:prstGeom>
                          <a:noFill/>
                          <a:ln w="9525">
                            <a:noFill/>
                          </a:ln>
                        </pic:spPr>
                      </pic:pic>
                    </a:graphicData>
                  </a:graphic>
                </wp:inline>
              </w:drawing>
            </w:r>
          </w:p>
        </w:tc>
      </w:tr>
      <w:tr w14:paraId="32E7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6AA7D143">
            <w:pPr>
              <w:keepNext/>
              <w:keepLines w:val="0"/>
              <w:pageBreakBefore w:val="0"/>
              <w:widowControl w:val="0"/>
              <w:kinsoku/>
              <w:wordWrap/>
              <w:overflowPunct/>
              <w:topLinePunct w:val="0"/>
              <w:autoSpaceDE/>
              <w:autoSpaceDN/>
              <w:bidi w:val="0"/>
              <w:adjustRightInd/>
              <w:snapToGrid/>
              <w:jc w:val="center"/>
              <w:textAlignment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10</w:t>
            </w:r>
          </w:p>
        </w:tc>
        <w:tc>
          <w:tcPr>
            <w:tcW w:w="1113" w:type="dxa"/>
            <w:tcBorders>
              <w:tl2br w:val="nil"/>
              <w:tr2bl w:val="nil"/>
            </w:tcBorders>
            <w:shd w:val="clear" w:color="auto" w:fill="FFFFFF"/>
            <w:vAlign w:val="center"/>
          </w:tcPr>
          <w:p w14:paraId="5F6F4AB6">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会议桌</w:t>
            </w:r>
          </w:p>
        </w:tc>
        <w:tc>
          <w:tcPr>
            <w:tcW w:w="7387" w:type="dxa"/>
            <w:tcBorders>
              <w:tl2br w:val="nil"/>
              <w:tr2bl w:val="nil"/>
            </w:tcBorders>
            <w:shd w:val="clear" w:color="auto" w:fill="FFFFFF"/>
            <w:vAlign w:val="center"/>
          </w:tcPr>
          <w:p w14:paraId="5D204E6C">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1、参考规格：6000</w:t>
            </w:r>
            <w:r>
              <w:rPr>
                <w:rFonts w:hint="eastAsia" w:ascii="宋体" w:hAnsi="宋体" w:cs="宋体"/>
                <w:color w:val="auto"/>
                <w:szCs w:val="21"/>
                <w:highlight w:val="none"/>
                <w:lang w:val="en-US" w:eastAsia="zh-CN"/>
              </w:rPr>
              <w:t>mm*</w:t>
            </w:r>
            <w:r>
              <w:rPr>
                <w:rFonts w:ascii="宋体" w:hAnsi="宋体" w:cs="宋体"/>
                <w:color w:val="auto"/>
                <w:szCs w:val="21"/>
                <w:highlight w:val="none"/>
              </w:rPr>
              <w:t>1800mm</w:t>
            </w:r>
            <w:r>
              <w:rPr>
                <w:rFonts w:hint="eastAsia" w:ascii="宋体" w:hAnsi="宋体" w:cs="宋体"/>
                <w:color w:val="auto"/>
                <w:szCs w:val="21"/>
                <w:highlight w:val="none"/>
                <w:lang w:val="en-US" w:eastAsia="zh-CN"/>
              </w:rPr>
              <w:t>*</w:t>
            </w:r>
            <w:r>
              <w:rPr>
                <w:rFonts w:ascii="宋体" w:hAnsi="宋体" w:cs="宋体"/>
                <w:color w:val="auto"/>
                <w:szCs w:val="21"/>
                <w:highlight w:val="none"/>
              </w:rPr>
              <w:t>760mm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±100mm</w:t>
            </w:r>
            <w:r>
              <w:rPr>
                <w:rFonts w:hint="eastAsia"/>
                <w:color w:val="auto"/>
                <w:sz w:val="21"/>
                <w:szCs w:val="21"/>
                <w:highlight w:val="none"/>
                <w:lang w:eastAsia="zh-CN"/>
              </w:rPr>
              <w:t>）</w:t>
            </w:r>
            <w:r>
              <w:rPr>
                <w:rFonts w:hint="eastAsia" w:ascii="宋体" w:hAnsi="宋体" w:cs="宋体"/>
                <w:color w:val="auto"/>
                <w:szCs w:val="21"/>
                <w:highlight w:val="none"/>
              </w:rPr>
              <w:t>；</w:t>
            </w:r>
          </w:p>
          <w:p w14:paraId="6E123F59">
            <w:pPr>
              <w:pStyle w:val="7"/>
              <w:keepNext/>
              <w:keepLines w:val="0"/>
              <w:pageBreakBefore w:val="0"/>
              <w:widowControl w:val="0"/>
              <w:kinsoku/>
              <w:wordWrap/>
              <w:overflowPunct/>
              <w:topLinePunct w:val="0"/>
              <w:autoSpaceDE/>
              <w:autoSpaceDN/>
              <w:bidi w:val="0"/>
              <w:adjustRightInd/>
              <w:snapToGrid/>
              <w:spacing w:line="440" w:lineRule="exact"/>
              <w:rPr>
                <w:rFonts w:ascii="宋体" w:hAnsi="宋体" w:cs="宋体"/>
                <w:color w:val="auto"/>
                <w:szCs w:val="21"/>
                <w:highlight w:val="none"/>
              </w:rPr>
            </w:pPr>
            <w:r>
              <w:rPr>
                <w:rFonts w:hint="eastAsia" w:ascii="宋体" w:hAnsi="宋体" w:cs="宋体"/>
                <w:b w:val="0"/>
                <w:bCs w:val="0"/>
                <w:i w:val="0"/>
                <w:iCs w:val="0"/>
                <w:color w:val="auto"/>
                <w:kern w:val="0"/>
                <w:sz w:val="24"/>
                <w:szCs w:val="24"/>
                <w:highlight w:val="none"/>
                <w:u w:val="none"/>
                <w:lang w:val="en-US" w:eastAsia="zh-CN" w:bidi="ar"/>
              </w:rPr>
              <w:t>●</w:t>
            </w:r>
            <w:r>
              <w:rPr>
                <w:rFonts w:ascii="宋体" w:hAnsi="宋体" w:cs="宋体"/>
                <w:color w:val="auto"/>
                <w:szCs w:val="21"/>
                <w:highlight w:val="none"/>
              </w:rPr>
              <w:t>2、材质：桌面及主材采用</w:t>
            </w:r>
            <w:r>
              <w:rPr>
                <w:rFonts w:hint="eastAsia"/>
                <w:color w:val="auto"/>
                <w:highlight w:val="none"/>
                <w:lang w:val="en-US" w:eastAsia="zh-CN"/>
              </w:rPr>
              <w:t>E1级以上板材</w:t>
            </w:r>
            <w:r>
              <w:rPr>
                <w:rFonts w:ascii="宋体" w:hAnsi="宋体" w:cs="宋体"/>
                <w:color w:val="auto"/>
                <w:szCs w:val="21"/>
                <w:highlight w:val="none"/>
              </w:rPr>
              <w:t>。抑菌率(金黄色葡萄球菌、大肠杆菌、 肺炎克雷伯氏菌、鼠伤寒沙门氏菌、铜绿假单胞菌)≥99％；有害物质苯、甲苯、二甲苯、TVOC、可迁移元素未检出，板材环保等级必须达到 GB/T 39600 - 2021，甲醛含量≤0.025mg/m³</w:t>
            </w:r>
            <w:r>
              <w:rPr>
                <w:rFonts w:hint="eastAsia" w:ascii="宋体" w:hAnsi="宋体" w:cs="宋体"/>
                <w:color w:val="auto"/>
                <w:szCs w:val="21"/>
                <w:highlight w:val="none"/>
              </w:rPr>
              <w:t>；</w:t>
            </w:r>
          </w:p>
          <w:p w14:paraId="36DAAB8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3、封边：优质同色PVC封边，优质热熔胶，经自动调温热压机使板材粘连无丝无缝，在不同地区气温、湿度的变化中不受影响，能长期不变形、不开裂</w:t>
            </w:r>
            <w:r>
              <w:rPr>
                <w:rFonts w:hint="eastAsia" w:ascii="宋体" w:hAnsi="宋体" w:cs="宋体"/>
                <w:color w:val="auto"/>
                <w:szCs w:val="21"/>
                <w:highlight w:val="none"/>
              </w:rPr>
              <w:t>；</w:t>
            </w:r>
          </w:p>
          <w:p w14:paraId="326BEDBF">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4、五金件：采用五金配件，产品用五金连接件拼接后整体显得紧密，间隙细小，保持适当间隙；优质三合一连接件</w:t>
            </w:r>
            <w:r>
              <w:rPr>
                <w:rFonts w:hint="eastAsia" w:ascii="宋体" w:hAnsi="宋体" w:cs="宋体"/>
                <w:color w:val="auto"/>
                <w:szCs w:val="21"/>
                <w:highlight w:val="none"/>
              </w:rPr>
              <w:t>；</w:t>
            </w:r>
          </w:p>
          <w:p w14:paraId="648800A4">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5、粘合剂材：环保胶粘剂</w:t>
            </w:r>
            <w:r>
              <w:rPr>
                <w:rFonts w:hint="eastAsia" w:ascii="宋体" w:hAnsi="宋体" w:cs="宋体"/>
                <w:color w:val="auto"/>
                <w:szCs w:val="21"/>
                <w:highlight w:val="none"/>
              </w:rPr>
              <w:t>；</w:t>
            </w:r>
          </w:p>
          <w:p w14:paraId="7A2E06B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bCs/>
                <w:color w:val="auto"/>
                <w:szCs w:val="21"/>
                <w:highlight w:val="none"/>
              </w:rPr>
              <w:t>6、</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4BA57EE9">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张</w:t>
            </w:r>
          </w:p>
        </w:tc>
        <w:tc>
          <w:tcPr>
            <w:tcW w:w="700" w:type="dxa"/>
            <w:tcBorders>
              <w:tl2br w:val="nil"/>
              <w:tr2bl w:val="nil"/>
            </w:tcBorders>
            <w:shd w:val="clear" w:color="auto" w:fill="FFFFFF"/>
            <w:noWrap/>
            <w:vAlign w:val="center"/>
          </w:tcPr>
          <w:p w14:paraId="5D8BD7AB">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ascii="宋体" w:hAnsi="宋体" w:cs="宋体"/>
                <w:color w:val="auto"/>
                <w:kern w:val="0"/>
                <w:sz w:val="22"/>
                <w:szCs w:val="22"/>
                <w:highlight w:val="none"/>
                <w:lang w:bidi="ar"/>
              </w:rPr>
              <w:t>3</w:t>
            </w:r>
          </w:p>
        </w:tc>
        <w:tc>
          <w:tcPr>
            <w:tcW w:w="4488" w:type="dxa"/>
            <w:tcBorders>
              <w:tl2br w:val="nil"/>
              <w:tr2bl w:val="nil"/>
            </w:tcBorders>
            <w:shd w:val="clear" w:color="auto" w:fill="FFFFFF"/>
            <w:noWrap/>
            <w:vAlign w:val="center"/>
          </w:tcPr>
          <w:p w14:paraId="3146DC08">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ascii="宋体" w:hAnsi="宋体" w:cs="宋体"/>
                <w:b/>
                <w:bCs/>
                <w:color w:val="auto"/>
                <w:szCs w:val="21"/>
                <w:highlight w:val="none"/>
              </w:rPr>
              <w:drawing>
                <wp:inline distT="0" distB="0" distL="114300" distR="114300">
                  <wp:extent cx="2738120" cy="2052955"/>
                  <wp:effectExtent l="0" t="0" r="5080" b="4445"/>
                  <wp:docPr id="40" name="图片 40" descr="19a75d112eabe77ca84ef92edb23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9a75d112eabe77ca84ef92edb23e49"/>
                          <pic:cNvPicPr>
                            <a:picLocks noChangeAspect="1"/>
                          </pic:cNvPicPr>
                        </pic:nvPicPr>
                        <pic:blipFill>
                          <a:blip r:embed="rId23"/>
                          <a:stretch>
                            <a:fillRect/>
                          </a:stretch>
                        </pic:blipFill>
                        <pic:spPr>
                          <a:xfrm>
                            <a:off x="0" y="0"/>
                            <a:ext cx="2738120" cy="2052955"/>
                          </a:xfrm>
                          <a:prstGeom prst="rect">
                            <a:avLst/>
                          </a:prstGeom>
                        </pic:spPr>
                      </pic:pic>
                    </a:graphicData>
                  </a:graphic>
                </wp:inline>
              </w:drawing>
            </w:r>
          </w:p>
        </w:tc>
      </w:tr>
      <w:tr w14:paraId="2895A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687" w:type="dxa"/>
            <w:tcBorders>
              <w:tl2br w:val="nil"/>
              <w:tr2bl w:val="nil"/>
            </w:tcBorders>
            <w:shd w:val="clear" w:color="auto" w:fill="FFFFFF"/>
            <w:noWrap/>
            <w:vAlign w:val="center"/>
          </w:tcPr>
          <w:p w14:paraId="23BD98B2">
            <w:pPr>
              <w:keepNext/>
              <w:keepLines w:val="0"/>
              <w:pageBreakBefore w:val="0"/>
              <w:widowControl w:val="0"/>
              <w:kinsoku/>
              <w:wordWrap/>
              <w:overflowPunct/>
              <w:topLinePunct w:val="0"/>
              <w:autoSpaceDE/>
              <w:autoSpaceDN/>
              <w:bidi w:val="0"/>
              <w:adjustRightInd/>
              <w:snapToGrid/>
              <w:jc w:val="center"/>
              <w:textAlignment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11</w:t>
            </w:r>
          </w:p>
        </w:tc>
        <w:tc>
          <w:tcPr>
            <w:tcW w:w="1113" w:type="dxa"/>
            <w:tcBorders>
              <w:tl2br w:val="nil"/>
              <w:tr2bl w:val="nil"/>
            </w:tcBorders>
            <w:shd w:val="clear" w:color="auto" w:fill="FFFFFF"/>
            <w:vAlign w:val="center"/>
          </w:tcPr>
          <w:p w14:paraId="3DDC939E">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会议椅</w:t>
            </w:r>
          </w:p>
        </w:tc>
        <w:tc>
          <w:tcPr>
            <w:tcW w:w="7387" w:type="dxa"/>
            <w:tcBorders>
              <w:tl2br w:val="nil"/>
              <w:tr2bl w:val="nil"/>
            </w:tcBorders>
            <w:shd w:val="clear" w:color="auto" w:fill="FFFFFF"/>
            <w:vAlign w:val="center"/>
          </w:tcPr>
          <w:p w14:paraId="61F92997">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hint="default" w:ascii="宋体" w:hAnsi="宋体" w:eastAsia="宋体" w:cs="宋体"/>
                <w:color w:val="auto"/>
                <w:szCs w:val="21"/>
                <w:highlight w:val="none"/>
                <w:lang w:val="en-US" w:eastAsia="zh-CN"/>
              </w:rPr>
            </w:pPr>
            <w:r>
              <w:rPr>
                <w:rFonts w:ascii="宋体" w:hAnsi="宋体" w:cs="宋体"/>
                <w:color w:val="auto"/>
                <w:szCs w:val="21"/>
                <w:highlight w:val="none"/>
              </w:rPr>
              <w:t>1、尺寸：</w:t>
            </w:r>
            <w:r>
              <w:rPr>
                <w:rFonts w:hint="eastAsia" w:ascii="宋体" w:hAnsi="宋体" w:cs="宋体"/>
                <w:color w:val="auto"/>
                <w:szCs w:val="21"/>
                <w:highlight w:val="none"/>
                <w:lang w:val="en-US" w:eastAsia="zh-CN"/>
              </w:rPr>
              <w:t>须</w:t>
            </w:r>
            <w:r>
              <w:rPr>
                <w:rFonts w:ascii="宋体" w:hAnsi="宋体" w:cs="宋体"/>
                <w:color w:val="auto"/>
                <w:szCs w:val="21"/>
                <w:highlight w:val="none"/>
              </w:rPr>
              <w:t>与会议桌尺寸</w:t>
            </w:r>
            <w:r>
              <w:rPr>
                <w:rFonts w:hint="eastAsia" w:ascii="宋体" w:hAnsi="宋体" w:cs="宋体"/>
                <w:color w:val="auto"/>
                <w:szCs w:val="21"/>
                <w:highlight w:val="none"/>
                <w:lang w:val="en-US" w:eastAsia="zh-CN"/>
              </w:rPr>
              <w:t>配套</w:t>
            </w:r>
            <w:r>
              <w:rPr>
                <w:rFonts w:ascii="宋体" w:hAnsi="宋体" w:cs="宋体"/>
                <w:color w:val="auto"/>
                <w:szCs w:val="21"/>
                <w:highlight w:val="none"/>
              </w:rPr>
              <w:t>，</w:t>
            </w:r>
            <w:r>
              <w:rPr>
                <w:rFonts w:hint="eastAsia" w:ascii="宋体" w:hAnsi="宋体" w:cs="宋体"/>
                <w:color w:val="auto"/>
                <w:szCs w:val="21"/>
                <w:highlight w:val="none"/>
                <w:lang w:val="en-US" w:eastAsia="zh-CN"/>
              </w:rPr>
              <w:t>尺寸：500mm*550mm*900mm</w:t>
            </w:r>
            <w:r>
              <w:rPr>
                <w:rFonts w:hint="eastAsia"/>
                <w:color w:val="auto"/>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±100mm</w:t>
            </w:r>
            <w:r>
              <w:rPr>
                <w:rFonts w:hint="eastAsia"/>
                <w:color w:val="auto"/>
                <w:highlight w:val="none"/>
                <w:lang w:eastAsia="zh-CN"/>
              </w:rPr>
              <w:t>）</w:t>
            </w:r>
          </w:p>
          <w:p w14:paraId="44AD26E4">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cs="宋体"/>
                <w:b w:val="0"/>
                <w:bCs w:val="0"/>
                <w:i w:val="0"/>
                <w:iCs w:val="0"/>
                <w:color w:val="auto"/>
                <w:kern w:val="0"/>
                <w:sz w:val="24"/>
                <w:szCs w:val="24"/>
                <w:highlight w:val="none"/>
                <w:u w:val="none"/>
                <w:lang w:val="en-US" w:eastAsia="zh-CN" w:bidi="ar"/>
              </w:rPr>
              <w:t>●</w:t>
            </w:r>
            <w:r>
              <w:rPr>
                <w:rFonts w:ascii="宋体" w:hAnsi="宋体" w:cs="宋体"/>
                <w:color w:val="auto"/>
                <w:szCs w:val="21"/>
                <w:highlight w:val="none"/>
              </w:rPr>
              <w:t>2、材质：面料采用复合高强度网布，防火防静电耐磨强、透气性好、经防污处理、不褪色，甲醛含量不得检出，可分解致癌芳香胺染料：砷、铅、镉、六价铬、钴、镍、汞、总铅、总镉不得检出，染色牢度（耐水(变色、沾色)、耐酸汗渍(变色、沾色)、耐碱汁渍(变色、沾色)）≥4级</w:t>
            </w:r>
            <w:r>
              <w:rPr>
                <w:rFonts w:hint="eastAsia" w:ascii="宋体" w:hAnsi="宋体" w:cs="宋体"/>
                <w:color w:val="auto"/>
                <w:szCs w:val="21"/>
                <w:highlight w:val="none"/>
              </w:rPr>
              <w:t>；</w:t>
            </w:r>
          </w:p>
          <w:p w14:paraId="5835FCC3">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3、海棉：采用海绵稳定性好。检验项目至少包含但不限于通过引燃的香烟抗引燃特性试验无续燃、阴燃现象，通过模拟火柴火焰抗引燃特性试验无续燃、阴燃现象，甲醛释放量未检出</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hint="eastAsia" w:ascii="宋体" w:hAnsi="宋体" w:cs="宋体"/>
                <w:b/>
                <w:bCs/>
                <w:color w:val="auto"/>
                <w:szCs w:val="21"/>
                <w:highlight w:val="none"/>
                <w:lang w:eastAsia="zh-CN"/>
              </w:rPr>
              <w:t>提供第三方检测机构出具的检测报告复印件</w:t>
            </w:r>
            <w:r>
              <w:rPr>
                <w:rFonts w:hint="eastAsia" w:ascii="宋体" w:hAnsi="宋体" w:eastAsia="宋体" w:cs="宋体"/>
                <w:b/>
                <w:bCs/>
                <w:color w:val="auto"/>
                <w:spacing w:val="-7"/>
                <w:sz w:val="21"/>
                <w:szCs w:val="21"/>
                <w:highlight w:val="none"/>
                <w:shd w:val="clear" w:color="auto" w:fill="auto"/>
                <w:lang w:val="en-US" w:eastAsia="zh-CN"/>
              </w:rPr>
              <w:t>加盖单位公章</w:t>
            </w:r>
            <w:r>
              <w:rPr>
                <w:rFonts w:hint="eastAsia" w:ascii="宋体" w:hAnsi="宋体" w:cs="宋体"/>
                <w:b/>
                <w:bCs/>
                <w:color w:val="auto"/>
                <w:szCs w:val="21"/>
                <w:highlight w:val="none"/>
                <w:lang w:eastAsia="zh-CN"/>
              </w:rPr>
              <w:t>，</w:t>
            </w:r>
            <w:r>
              <w:rPr>
                <w:rFonts w:hint="eastAsia" w:ascii="宋体" w:hAnsi="宋体" w:eastAsia="宋体" w:cs="宋体"/>
                <w:b/>
                <w:bCs/>
                <w:color w:val="auto"/>
                <w:kern w:val="0"/>
                <w:sz w:val="21"/>
                <w:szCs w:val="21"/>
                <w:highlight w:val="none"/>
                <w:lang w:val="en-US" w:eastAsia="zh-CN" w:bidi="ar"/>
              </w:rPr>
              <w:t>检测报告</w:t>
            </w:r>
            <w:r>
              <w:rPr>
                <w:rFonts w:hint="eastAsia" w:ascii="宋体" w:hAnsi="宋体" w:cs="宋体"/>
                <w:b/>
                <w:bCs/>
                <w:color w:val="auto"/>
                <w:szCs w:val="21"/>
                <w:highlight w:val="none"/>
                <w:lang w:eastAsia="zh-CN"/>
              </w:rPr>
              <w:t>须具有CMA或CNAS标识，</w:t>
            </w:r>
            <w:r>
              <w:rPr>
                <w:rFonts w:ascii="宋体" w:hAnsi="宋体" w:cs="宋体"/>
                <w:b/>
                <w:bCs/>
                <w:color w:val="auto"/>
                <w:szCs w:val="21"/>
                <w:highlight w:val="none"/>
              </w:rPr>
              <w:t>检测项目至少包含：</w:t>
            </w:r>
            <w:r>
              <w:rPr>
                <w:rFonts w:ascii="宋体" w:hAnsi="宋体" w:cs="宋体"/>
                <w:color w:val="auto"/>
                <w:szCs w:val="21"/>
                <w:highlight w:val="none"/>
              </w:rPr>
              <w:t>密度≥62kg/m³，断裂伸长率≥158%，干热老化后拉伸强度≥185kPa，湿热老化后拉伸强度≥150kPa，65%/25%压陷比≥3.8，75%压缩永久变形≤2%，回弹率≥62%，拉伸强度≥199kPa，撕裂强度≥4.9N/cm，回弹性能≥60%，压缩永久变形≤2%。</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w:t>
            </w:r>
          </w:p>
          <w:p w14:paraId="6F27D847">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4、椅架：采用优质钢管冷轧弯曲，壁厚2.0mm，经镀锘工艺处理，质感光滑，接地处配尼龙脚垫</w:t>
            </w:r>
            <w:r>
              <w:rPr>
                <w:rFonts w:hint="eastAsia" w:ascii="宋体" w:hAnsi="宋体" w:cs="宋体"/>
                <w:color w:val="auto"/>
                <w:szCs w:val="21"/>
                <w:highlight w:val="none"/>
              </w:rPr>
              <w:t>；</w:t>
            </w:r>
          </w:p>
          <w:p w14:paraId="55C3AA02">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bCs/>
                <w:color w:val="auto"/>
                <w:szCs w:val="21"/>
                <w:highlight w:val="none"/>
              </w:rPr>
              <w:t>5、</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63413051">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700" w:type="dxa"/>
            <w:tcBorders>
              <w:tl2br w:val="nil"/>
              <w:tr2bl w:val="nil"/>
            </w:tcBorders>
            <w:shd w:val="clear" w:color="auto" w:fill="FFFFFF"/>
            <w:noWrap/>
            <w:vAlign w:val="center"/>
          </w:tcPr>
          <w:p w14:paraId="12AD2E54">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ascii="宋体" w:hAnsi="宋体" w:cs="宋体"/>
                <w:color w:val="auto"/>
                <w:kern w:val="0"/>
                <w:sz w:val="22"/>
                <w:szCs w:val="22"/>
                <w:highlight w:val="none"/>
                <w:lang w:bidi="ar"/>
              </w:rPr>
              <w:t>170</w:t>
            </w:r>
          </w:p>
        </w:tc>
        <w:tc>
          <w:tcPr>
            <w:tcW w:w="4488" w:type="dxa"/>
            <w:tcBorders>
              <w:tl2br w:val="nil"/>
              <w:tr2bl w:val="nil"/>
            </w:tcBorders>
            <w:shd w:val="clear" w:color="auto" w:fill="FFFFFF"/>
            <w:noWrap/>
            <w:vAlign w:val="center"/>
          </w:tcPr>
          <w:p w14:paraId="382784F6">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 w:val="22"/>
                <w:szCs w:val="22"/>
                <w:highlight w:val="none"/>
                <w:lang w:bidi="ar"/>
              </w:rPr>
            </w:pPr>
            <w:r>
              <w:rPr>
                <w:rFonts w:ascii="宋体" w:hAnsi="宋体" w:cs="宋体"/>
                <w:b/>
                <w:bCs/>
                <w:color w:val="auto"/>
                <w:szCs w:val="21"/>
                <w:highlight w:val="none"/>
              </w:rPr>
              <w:drawing>
                <wp:inline distT="0" distB="0" distL="114300" distR="114300">
                  <wp:extent cx="2649220" cy="2649220"/>
                  <wp:effectExtent l="0" t="0" r="17780" b="17780"/>
                  <wp:docPr id="41" name="图片 41" descr="d944692da6acc40d83f44c0cf42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944692da6acc40d83f44c0cf428750"/>
                          <pic:cNvPicPr>
                            <a:picLocks noChangeAspect="1"/>
                          </pic:cNvPicPr>
                        </pic:nvPicPr>
                        <pic:blipFill>
                          <a:blip r:embed="rId24"/>
                          <a:stretch>
                            <a:fillRect/>
                          </a:stretch>
                        </pic:blipFill>
                        <pic:spPr>
                          <a:xfrm>
                            <a:off x="0" y="0"/>
                            <a:ext cx="2655956" cy="2655956"/>
                          </a:xfrm>
                          <a:prstGeom prst="rect">
                            <a:avLst/>
                          </a:prstGeom>
                        </pic:spPr>
                      </pic:pic>
                    </a:graphicData>
                  </a:graphic>
                </wp:inline>
              </w:drawing>
            </w:r>
          </w:p>
        </w:tc>
      </w:tr>
      <w:tr w14:paraId="2D617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4D79913E">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12</w:t>
            </w:r>
          </w:p>
        </w:tc>
        <w:tc>
          <w:tcPr>
            <w:tcW w:w="1113" w:type="dxa"/>
            <w:tcBorders>
              <w:tl2br w:val="nil"/>
              <w:tr2bl w:val="nil"/>
            </w:tcBorders>
            <w:shd w:val="clear" w:color="auto" w:fill="FFFFFF"/>
            <w:vAlign w:val="center"/>
          </w:tcPr>
          <w:p w14:paraId="3102F3F3">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会议长条桌</w:t>
            </w:r>
          </w:p>
        </w:tc>
        <w:tc>
          <w:tcPr>
            <w:tcW w:w="7387" w:type="dxa"/>
            <w:tcBorders>
              <w:tl2br w:val="nil"/>
              <w:tr2bl w:val="nil"/>
            </w:tcBorders>
            <w:shd w:val="clear" w:color="auto" w:fill="FFFFFF"/>
            <w:vAlign w:val="center"/>
          </w:tcPr>
          <w:p w14:paraId="2D9E6431">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1、长度：≥ 1200mm，宽度：≥</w:t>
            </w:r>
            <w:r>
              <w:rPr>
                <w:rFonts w:hint="eastAsia" w:ascii="宋体" w:hAnsi="宋体" w:cs="宋体"/>
                <w:color w:val="auto"/>
                <w:szCs w:val="21"/>
                <w:highlight w:val="none"/>
              </w:rPr>
              <w:t>550</w:t>
            </w:r>
            <w:r>
              <w:rPr>
                <w:rFonts w:ascii="宋体" w:hAnsi="宋体" w:cs="宋体"/>
                <w:color w:val="auto"/>
                <w:szCs w:val="21"/>
                <w:highlight w:val="none"/>
              </w:rPr>
              <w:t>mm，高度：≥750mm</w:t>
            </w:r>
            <w:r>
              <w:rPr>
                <w:rFonts w:hint="eastAsia" w:ascii="宋体" w:hAnsi="宋体" w:cs="宋体"/>
                <w:color w:val="auto"/>
                <w:szCs w:val="21"/>
                <w:highlight w:val="none"/>
              </w:rPr>
              <w:t>；</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0mm</w:t>
            </w:r>
            <w:r>
              <w:rPr>
                <w:rFonts w:hint="eastAsia"/>
                <w:color w:val="auto"/>
                <w:sz w:val="21"/>
                <w:szCs w:val="21"/>
                <w:highlight w:val="none"/>
                <w:lang w:eastAsia="zh-CN"/>
              </w:rPr>
              <w:t>）</w:t>
            </w:r>
          </w:p>
          <w:p w14:paraId="56946DA8">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2、桌面基材：选用</w:t>
            </w:r>
            <w:r>
              <w:rPr>
                <w:rFonts w:hint="eastAsia"/>
                <w:color w:val="auto"/>
                <w:highlight w:val="none"/>
                <w:lang w:val="en-US" w:eastAsia="zh-CN"/>
              </w:rPr>
              <w:t>E1级以上</w:t>
            </w:r>
            <w:r>
              <w:rPr>
                <w:rFonts w:ascii="宋体" w:hAnsi="宋体" w:cs="宋体"/>
                <w:color w:val="auto"/>
                <w:szCs w:val="21"/>
                <w:highlight w:val="none"/>
              </w:rPr>
              <w:t>中密度纤维板（MDF），其密度均匀，结构稳定，握钉力强，环保指标符合国家相关标准，保障使用安全</w:t>
            </w:r>
            <w:r>
              <w:rPr>
                <w:rFonts w:hint="eastAsia" w:ascii="宋体" w:hAnsi="宋体" w:cs="宋体"/>
                <w:color w:val="auto"/>
                <w:szCs w:val="21"/>
                <w:highlight w:val="none"/>
              </w:rPr>
              <w:t>；</w:t>
            </w:r>
          </w:p>
          <w:p w14:paraId="2AD722EE">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3、桌腿材质：采用优质 Q235 钢材，强度高、韧性好，具有良好的抗压和抗变形能力。钢材壁厚为50mm，确保桌腿的坚固性</w:t>
            </w:r>
            <w:r>
              <w:rPr>
                <w:rFonts w:hint="eastAsia" w:ascii="宋体" w:hAnsi="宋体" w:cs="宋体"/>
                <w:color w:val="auto"/>
                <w:szCs w:val="21"/>
                <w:highlight w:val="none"/>
              </w:rPr>
              <w:t>；</w:t>
            </w:r>
          </w:p>
          <w:p w14:paraId="44A547E5">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4、表面处理：经过静电喷涂工艺处理，涂层厚度均匀，约为2μm ，形成致密保护膜，具备优异的防锈、防腐蚀性能，在湿度70%、温度60℃的环境下测试 5 小时，无生锈、腐蚀现象</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hint="eastAsia" w:ascii="宋体" w:hAnsi="宋体" w:cs="宋体"/>
                <w:b/>
                <w:bCs/>
                <w:color w:val="auto"/>
                <w:szCs w:val="21"/>
                <w:highlight w:val="none"/>
                <w:lang w:eastAsia="zh-CN"/>
              </w:rPr>
              <w:t>提供第三方检测机构出具的检测报告复印件</w:t>
            </w:r>
            <w:r>
              <w:rPr>
                <w:rFonts w:hint="eastAsia" w:ascii="宋体" w:hAnsi="宋体" w:eastAsia="宋体" w:cs="宋体"/>
                <w:b/>
                <w:bCs/>
                <w:color w:val="auto"/>
                <w:spacing w:val="-7"/>
                <w:sz w:val="21"/>
                <w:szCs w:val="21"/>
                <w:highlight w:val="none"/>
                <w:shd w:val="clear" w:color="auto" w:fill="auto"/>
                <w:lang w:val="en-US" w:eastAsia="zh-CN"/>
              </w:rPr>
              <w:t>加盖单位公章</w:t>
            </w:r>
            <w:r>
              <w:rPr>
                <w:rFonts w:hint="eastAsia" w:ascii="宋体" w:hAnsi="宋体" w:cs="宋体"/>
                <w:b/>
                <w:bCs/>
                <w:color w:val="auto"/>
                <w:szCs w:val="21"/>
                <w:highlight w:val="none"/>
                <w:lang w:eastAsia="zh-CN"/>
              </w:rPr>
              <w:t>，</w:t>
            </w:r>
            <w:r>
              <w:rPr>
                <w:rFonts w:hint="eastAsia" w:ascii="宋体" w:hAnsi="宋体" w:eastAsia="宋体" w:cs="宋体"/>
                <w:b/>
                <w:bCs/>
                <w:color w:val="auto"/>
                <w:kern w:val="0"/>
                <w:sz w:val="21"/>
                <w:szCs w:val="21"/>
                <w:highlight w:val="none"/>
                <w:lang w:val="en-US" w:eastAsia="zh-CN" w:bidi="ar"/>
              </w:rPr>
              <w:t>检测报告</w:t>
            </w:r>
            <w:r>
              <w:rPr>
                <w:rFonts w:hint="eastAsia" w:ascii="宋体" w:hAnsi="宋体" w:cs="宋体"/>
                <w:b/>
                <w:bCs/>
                <w:color w:val="auto"/>
                <w:szCs w:val="21"/>
                <w:highlight w:val="none"/>
                <w:lang w:eastAsia="zh-CN"/>
              </w:rPr>
              <w:t>须具有CMA或CNAS标识)</w:t>
            </w:r>
          </w:p>
          <w:p w14:paraId="2B53DA91">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5、连接件：采用高强度五金连接件，如锌合金材质的三合一连接件，承载能力强，连接稳固，可确保桌面与桌腿连接紧密，长期使用不易松动</w:t>
            </w:r>
            <w:r>
              <w:rPr>
                <w:rFonts w:hint="eastAsia" w:ascii="宋体" w:hAnsi="宋体" w:cs="宋体"/>
                <w:color w:val="auto"/>
                <w:szCs w:val="21"/>
                <w:highlight w:val="none"/>
              </w:rPr>
              <w:t>；</w:t>
            </w:r>
          </w:p>
          <w:p w14:paraId="3E955218">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bCs/>
                <w:color w:val="auto"/>
                <w:szCs w:val="21"/>
                <w:highlight w:val="none"/>
              </w:rPr>
              <w:t>6、</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598DA4CC">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张</w:t>
            </w:r>
          </w:p>
        </w:tc>
        <w:tc>
          <w:tcPr>
            <w:tcW w:w="700" w:type="dxa"/>
            <w:tcBorders>
              <w:tl2br w:val="nil"/>
              <w:tr2bl w:val="nil"/>
            </w:tcBorders>
            <w:shd w:val="clear" w:color="auto" w:fill="FFFFFF"/>
            <w:noWrap/>
            <w:vAlign w:val="center"/>
          </w:tcPr>
          <w:p w14:paraId="00033B9E">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 w:val="22"/>
                <w:szCs w:val="22"/>
                <w:highlight w:val="none"/>
                <w:lang w:bidi="ar"/>
              </w:rPr>
              <w:t>35</w:t>
            </w:r>
          </w:p>
        </w:tc>
        <w:tc>
          <w:tcPr>
            <w:tcW w:w="4488" w:type="dxa"/>
            <w:tcBorders>
              <w:tl2br w:val="nil"/>
              <w:tr2bl w:val="nil"/>
            </w:tcBorders>
            <w:shd w:val="clear" w:color="auto" w:fill="FFFFFF"/>
            <w:noWrap/>
            <w:vAlign w:val="center"/>
          </w:tcPr>
          <w:p w14:paraId="73F36E8E">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ascii="宋体" w:hAnsi="宋体" w:cs="宋体"/>
                <w:b/>
                <w:bCs/>
                <w:color w:val="auto"/>
                <w:szCs w:val="21"/>
                <w:highlight w:val="none"/>
              </w:rPr>
              <w:drawing>
                <wp:inline distT="0" distB="0" distL="114300" distR="114300">
                  <wp:extent cx="3327400" cy="3171190"/>
                  <wp:effectExtent l="0" t="0" r="6350" b="10160"/>
                  <wp:docPr id="42" name="图片 42" descr="c9abe45848d81aa50af091ebc4e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9abe45848d81aa50af091ebc4e8117"/>
                          <pic:cNvPicPr>
                            <a:picLocks noChangeAspect="1"/>
                          </pic:cNvPicPr>
                        </pic:nvPicPr>
                        <pic:blipFill>
                          <a:blip r:embed="rId25"/>
                          <a:stretch>
                            <a:fillRect/>
                          </a:stretch>
                        </pic:blipFill>
                        <pic:spPr>
                          <a:xfrm>
                            <a:off x="0" y="0"/>
                            <a:ext cx="3327400" cy="3171190"/>
                          </a:xfrm>
                          <a:prstGeom prst="rect">
                            <a:avLst/>
                          </a:prstGeom>
                        </pic:spPr>
                      </pic:pic>
                    </a:graphicData>
                  </a:graphic>
                </wp:inline>
              </w:drawing>
            </w:r>
          </w:p>
        </w:tc>
      </w:tr>
      <w:tr w14:paraId="3155F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87" w:type="dxa"/>
            <w:tcBorders>
              <w:tl2br w:val="nil"/>
              <w:tr2bl w:val="nil"/>
            </w:tcBorders>
            <w:shd w:val="clear" w:color="auto" w:fill="FFFFFF"/>
            <w:noWrap/>
            <w:vAlign w:val="center"/>
          </w:tcPr>
          <w:p w14:paraId="08DCAD4E">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val="en-US" w:eastAsia="zh-CN" w:bidi="ar"/>
              </w:rPr>
              <w:t>3</w:t>
            </w:r>
          </w:p>
        </w:tc>
        <w:tc>
          <w:tcPr>
            <w:tcW w:w="1113" w:type="dxa"/>
            <w:tcBorders>
              <w:tl2br w:val="nil"/>
              <w:tr2bl w:val="nil"/>
            </w:tcBorders>
            <w:shd w:val="clear" w:color="auto" w:fill="FFFFFF"/>
            <w:vAlign w:val="center"/>
          </w:tcPr>
          <w:p w14:paraId="2E0F2566">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kern w:val="0"/>
                <w:szCs w:val="21"/>
                <w:highlight w:val="none"/>
                <w:lang w:bidi="ar"/>
              </w:rPr>
            </w:pPr>
            <w:r>
              <w:rPr>
                <w:rFonts w:hint="eastAsia" w:ascii="宋体" w:hAnsi="宋体" w:cs="宋体"/>
                <w:color w:val="auto"/>
                <w:kern w:val="0"/>
                <w:sz w:val="22"/>
                <w:szCs w:val="22"/>
                <w:highlight w:val="none"/>
                <w:lang w:bidi="ar"/>
              </w:rPr>
              <w:t>长条桌</w:t>
            </w:r>
          </w:p>
        </w:tc>
        <w:tc>
          <w:tcPr>
            <w:tcW w:w="7387" w:type="dxa"/>
            <w:tcBorders>
              <w:tl2br w:val="nil"/>
              <w:tr2bl w:val="nil"/>
            </w:tcBorders>
            <w:shd w:val="clear" w:color="auto" w:fill="FFFFFF"/>
            <w:vAlign w:val="center"/>
          </w:tcPr>
          <w:p w14:paraId="2F4AABDC">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 xml:space="preserve">1、长度：≥ </w:t>
            </w:r>
            <w:r>
              <w:rPr>
                <w:rFonts w:hint="eastAsia" w:ascii="宋体" w:hAnsi="宋体" w:cs="宋体"/>
                <w:color w:val="auto"/>
                <w:szCs w:val="21"/>
                <w:highlight w:val="none"/>
              </w:rPr>
              <w:t>2000</w:t>
            </w:r>
            <w:r>
              <w:rPr>
                <w:rFonts w:ascii="宋体" w:hAnsi="宋体" w:cs="宋体"/>
                <w:color w:val="auto"/>
                <w:szCs w:val="21"/>
                <w:highlight w:val="none"/>
              </w:rPr>
              <w:t>mm，宽度：≥</w:t>
            </w:r>
            <w:r>
              <w:rPr>
                <w:rFonts w:hint="eastAsia" w:ascii="宋体" w:hAnsi="宋体" w:cs="宋体"/>
                <w:color w:val="auto"/>
                <w:szCs w:val="21"/>
                <w:highlight w:val="none"/>
              </w:rPr>
              <w:t>800</w:t>
            </w:r>
            <w:r>
              <w:rPr>
                <w:rFonts w:ascii="宋体" w:hAnsi="宋体" w:cs="宋体"/>
                <w:color w:val="auto"/>
                <w:szCs w:val="21"/>
                <w:highlight w:val="none"/>
              </w:rPr>
              <w:t>mm，高度：≥</w:t>
            </w:r>
            <w:r>
              <w:rPr>
                <w:rFonts w:hint="eastAsia" w:ascii="宋体" w:hAnsi="宋体" w:cs="宋体"/>
                <w:color w:val="auto"/>
                <w:szCs w:val="21"/>
                <w:highlight w:val="none"/>
              </w:rPr>
              <w:t>740</w:t>
            </w:r>
            <w:r>
              <w:rPr>
                <w:rFonts w:ascii="宋体" w:hAnsi="宋体" w:cs="宋体"/>
                <w:color w:val="auto"/>
                <w:szCs w:val="21"/>
                <w:highlight w:val="none"/>
              </w:rPr>
              <w:t>mm</w:t>
            </w:r>
            <w:r>
              <w:rPr>
                <w:rFonts w:hint="eastAsia"/>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0mm</w:t>
            </w:r>
            <w:r>
              <w:rPr>
                <w:rFonts w:hint="eastAsia"/>
                <w:color w:val="auto"/>
                <w:sz w:val="21"/>
                <w:szCs w:val="21"/>
                <w:highlight w:val="none"/>
                <w:lang w:eastAsia="zh-CN"/>
              </w:rPr>
              <w:t>）</w:t>
            </w:r>
          </w:p>
          <w:p w14:paraId="51147E0D">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2、桌面：桌面厚度≥25mm，边缘经过倒圆角处理，圆角半径≥5mm</w:t>
            </w:r>
            <w:r>
              <w:rPr>
                <w:rFonts w:hint="eastAsia" w:ascii="宋体" w:hAnsi="宋体" w:cs="宋体"/>
                <w:color w:val="auto"/>
                <w:szCs w:val="21"/>
                <w:highlight w:val="none"/>
              </w:rPr>
              <w:t>，</w:t>
            </w:r>
            <w:r>
              <w:rPr>
                <w:rFonts w:ascii="宋体" w:hAnsi="宋体" w:cs="宋体"/>
                <w:color w:val="auto"/>
                <w:szCs w:val="21"/>
                <w:highlight w:val="none"/>
              </w:rPr>
              <w:t xml:space="preserve">选用 </w:t>
            </w:r>
            <w:r>
              <w:rPr>
                <w:rFonts w:hint="eastAsia"/>
                <w:color w:val="auto"/>
                <w:highlight w:val="none"/>
                <w:lang w:val="en-US" w:eastAsia="zh-CN"/>
              </w:rPr>
              <w:t>E1级以上板材</w:t>
            </w:r>
            <w:r>
              <w:rPr>
                <w:rFonts w:ascii="宋体" w:hAnsi="宋体" w:cs="宋体"/>
                <w:color w:val="auto"/>
                <w:szCs w:val="21"/>
                <w:highlight w:val="none"/>
              </w:rPr>
              <w:t>环保中密度纤维板（MDF），甲醛释放量≤0.124mg/m³（依据 GB 18580 - 2017标准检测）</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hint="eastAsia" w:ascii="宋体" w:hAnsi="宋体" w:cs="宋体"/>
                <w:b/>
                <w:bCs/>
                <w:color w:val="auto"/>
                <w:szCs w:val="21"/>
                <w:highlight w:val="none"/>
                <w:lang w:eastAsia="zh-CN"/>
              </w:rPr>
              <w:t>提供第三方检测机构出具的检测报告复印件</w:t>
            </w:r>
            <w:r>
              <w:rPr>
                <w:rFonts w:hint="eastAsia" w:ascii="宋体" w:hAnsi="宋体" w:eastAsia="宋体" w:cs="宋体"/>
                <w:b/>
                <w:bCs/>
                <w:color w:val="auto"/>
                <w:spacing w:val="-7"/>
                <w:sz w:val="21"/>
                <w:szCs w:val="21"/>
                <w:highlight w:val="none"/>
                <w:shd w:val="clear" w:color="auto" w:fill="auto"/>
                <w:lang w:val="en-US" w:eastAsia="zh-CN"/>
              </w:rPr>
              <w:t>加盖单位公章</w:t>
            </w:r>
            <w:r>
              <w:rPr>
                <w:rFonts w:hint="eastAsia" w:ascii="宋体" w:hAnsi="宋体" w:cs="宋体"/>
                <w:b/>
                <w:bCs/>
                <w:color w:val="auto"/>
                <w:szCs w:val="21"/>
                <w:highlight w:val="none"/>
                <w:lang w:eastAsia="zh-CN"/>
              </w:rPr>
              <w:t>，</w:t>
            </w:r>
            <w:r>
              <w:rPr>
                <w:rFonts w:hint="eastAsia" w:ascii="宋体" w:hAnsi="宋体" w:eastAsia="宋体" w:cs="宋体"/>
                <w:b/>
                <w:bCs/>
                <w:color w:val="auto"/>
                <w:kern w:val="0"/>
                <w:sz w:val="21"/>
                <w:szCs w:val="21"/>
                <w:highlight w:val="none"/>
                <w:lang w:val="en-US" w:eastAsia="zh-CN" w:bidi="ar"/>
              </w:rPr>
              <w:t>检测报告</w:t>
            </w:r>
            <w:r>
              <w:rPr>
                <w:rFonts w:hint="eastAsia" w:ascii="宋体" w:hAnsi="宋体" w:cs="宋体"/>
                <w:b/>
                <w:bCs/>
                <w:color w:val="auto"/>
                <w:szCs w:val="21"/>
                <w:highlight w:val="none"/>
                <w:lang w:eastAsia="zh-CN"/>
              </w:rPr>
              <w:t>须具有CMA或CNAS标识，</w:t>
            </w:r>
            <w:r>
              <w:rPr>
                <w:rFonts w:ascii="宋体" w:hAnsi="宋体" w:cs="宋体"/>
                <w:b/>
                <w:bCs/>
                <w:color w:val="auto"/>
                <w:szCs w:val="21"/>
                <w:highlight w:val="none"/>
              </w:rPr>
              <w:t>检测项目至少包含</w:t>
            </w:r>
            <w:r>
              <w:rPr>
                <w:rFonts w:hint="eastAsia" w:ascii="宋体" w:hAnsi="宋体" w:cs="宋体"/>
                <w:b/>
                <w:bCs/>
                <w:color w:val="auto"/>
                <w:szCs w:val="21"/>
                <w:highlight w:val="none"/>
                <w:lang w:eastAsia="zh-CN"/>
              </w:rPr>
              <w:t>：</w:t>
            </w:r>
            <w:r>
              <w:rPr>
                <w:rFonts w:ascii="宋体" w:hAnsi="宋体" w:cs="宋体"/>
                <w:color w:val="auto"/>
                <w:szCs w:val="21"/>
                <w:highlight w:val="none"/>
              </w:rPr>
              <w:t>表面采用三聚氰胺饰面工艺，三聚氰胺浸渍纸克重不低于 120g/㎡，具有良好的耐磨性（表面耐磨转数不低于 8000 转，依据 GB/T 17657 - 2013 标准检测 ）、耐刮性（硬度达到 2H 及以上，依据 GB/T 6739 - 2018 标准检测 ）、耐污性（耐污染腐蚀等级不低于 4 级，依据 GB/T 17657 - 2013 标准检测 ）以及易清洁性</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w:t>
            </w:r>
          </w:p>
          <w:p w14:paraId="2E635C10">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3、桌</w:t>
            </w:r>
            <w:r>
              <w:rPr>
                <w:rFonts w:hint="eastAsia" w:ascii="宋体" w:hAnsi="宋体" w:cs="宋体"/>
                <w:color w:val="auto"/>
                <w:szCs w:val="21"/>
                <w:highlight w:val="none"/>
              </w:rPr>
              <w:t>架</w:t>
            </w:r>
            <w:r>
              <w:rPr>
                <w:rFonts w:ascii="宋体" w:hAnsi="宋体" w:cs="宋体"/>
                <w:color w:val="auto"/>
                <w:szCs w:val="21"/>
                <w:highlight w:val="none"/>
              </w:rPr>
              <w:t>材质：采用优质 Q235 钢材，钢材厚度为 1.8mm，屈服强度≥235MPa，抗拉强度≥375MPa。钢材表面进行酸洗、磷化等预处理后，采用静电喷塑工艺，塑粉为优质环保型粉末，涂层厚度在 0.08 - 0.12mm 之间，涂层均匀、平整、光滑，附着力达到 1 级（依据 GB/T 9286 - 1998 标准检测 ），无流挂、起皱、露底等缺陷，具备良好的防锈、防腐性能，盐雾试验时间不低于72小时（依据 GB/T 10125 - 2012 标准检测 ）</w:t>
            </w:r>
            <w:r>
              <w:rPr>
                <w:rFonts w:hint="eastAsia" w:ascii="宋体" w:hAnsi="宋体" w:cs="宋体"/>
                <w:color w:val="auto"/>
                <w:szCs w:val="21"/>
                <w:highlight w:val="none"/>
              </w:rPr>
              <w:t>；</w:t>
            </w:r>
          </w:p>
          <w:p w14:paraId="6CD746FA">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hint="eastAsia" w:ascii="宋体" w:hAnsi="宋体" w:eastAsia="宋体" w:cs="仿宋"/>
                <w:color w:val="auto"/>
                <w:kern w:val="0"/>
                <w:sz w:val="24"/>
                <w:highlight w:val="none"/>
                <w:lang w:bidi="ar"/>
              </w:rPr>
              <w:t>■</w:t>
            </w:r>
            <w:r>
              <w:rPr>
                <w:rFonts w:ascii="宋体" w:hAnsi="宋体" w:cs="宋体"/>
                <w:color w:val="auto"/>
                <w:szCs w:val="21"/>
                <w:highlight w:val="none"/>
              </w:rPr>
              <w:t>4、</w:t>
            </w:r>
            <w:r>
              <w:rPr>
                <w:rFonts w:hint="eastAsia" w:ascii="宋体" w:hAnsi="宋体" w:cs="宋体"/>
                <w:color w:val="auto"/>
                <w:szCs w:val="21"/>
                <w:highlight w:val="none"/>
              </w:rPr>
              <w:t>承重能力</w:t>
            </w:r>
            <w:r>
              <w:rPr>
                <w:rFonts w:ascii="宋体" w:hAnsi="宋体" w:cs="宋体"/>
                <w:color w:val="auto"/>
                <w:szCs w:val="21"/>
                <w:highlight w:val="none"/>
              </w:rPr>
              <w:t>：桌面均匀承重能力不低于 120kg，在承载 120kg 重物持续 24 小时后，桌面变形量不超过 3mm，卸载重物后，桌面应恢复原状，无永久变形</w:t>
            </w:r>
            <w:r>
              <w:rPr>
                <w:rFonts w:hint="eastAsia" w:ascii="宋体" w:hAnsi="宋体" w:cs="宋体"/>
                <w:color w:val="auto"/>
                <w:szCs w:val="21"/>
                <w:highlight w:val="none"/>
              </w:rPr>
              <w:t>，桌子在水平地面上摇晃幅度不超过 2mm。在桌角施加 100N 水平推力时，桌子不应出现倾倒现象，且在推力撤销后能迅速恢复稳定状态</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投标人须在投标文件中</w:t>
            </w:r>
            <w:r>
              <w:rPr>
                <w:rFonts w:hint="eastAsia" w:ascii="宋体" w:hAnsi="宋体" w:cs="宋体"/>
                <w:b/>
                <w:bCs/>
                <w:color w:val="auto"/>
                <w:szCs w:val="21"/>
                <w:highlight w:val="none"/>
                <w:lang w:eastAsia="zh-CN"/>
              </w:rPr>
              <w:t>提供第三方检测机构出具的检测报告复印件</w:t>
            </w:r>
            <w:r>
              <w:rPr>
                <w:rFonts w:hint="eastAsia" w:ascii="宋体" w:hAnsi="宋体" w:eastAsia="宋体" w:cs="宋体"/>
                <w:b/>
                <w:bCs/>
                <w:color w:val="auto"/>
                <w:spacing w:val="-7"/>
                <w:sz w:val="21"/>
                <w:szCs w:val="21"/>
                <w:highlight w:val="none"/>
                <w:shd w:val="clear" w:color="auto" w:fill="auto"/>
                <w:lang w:val="en-US" w:eastAsia="zh-CN"/>
              </w:rPr>
              <w:t>加盖单位公章</w:t>
            </w:r>
            <w:r>
              <w:rPr>
                <w:rFonts w:hint="eastAsia" w:ascii="宋体" w:hAnsi="宋体" w:cs="宋体"/>
                <w:b/>
                <w:bCs/>
                <w:color w:val="auto"/>
                <w:szCs w:val="21"/>
                <w:highlight w:val="none"/>
                <w:lang w:eastAsia="zh-CN"/>
              </w:rPr>
              <w:t>，</w:t>
            </w:r>
            <w:r>
              <w:rPr>
                <w:rFonts w:hint="eastAsia" w:ascii="宋体" w:hAnsi="宋体" w:eastAsia="宋体" w:cs="宋体"/>
                <w:b/>
                <w:bCs/>
                <w:color w:val="auto"/>
                <w:kern w:val="0"/>
                <w:sz w:val="21"/>
                <w:szCs w:val="21"/>
                <w:highlight w:val="none"/>
                <w:lang w:val="en-US" w:eastAsia="zh-CN" w:bidi="ar"/>
              </w:rPr>
              <w:t>检测报告</w:t>
            </w:r>
            <w:r>
              <w:rPr>
                <w:rFonts w:hint="eastAsia" w:ascii="宋体" w:hAnsi="宋体" w:cs="宋体"/>
                <w:b/>
                <w:bCs/>
                <w:color w:val="auto"/>
                <w:szCs w:val="21"/>
                <w:highlight w:val="none"/>
                <w:lang w:eastAsia="zh-CN"/>
              </w:rPr>
              <w:t>须具有CMA或CNAS标识)</w:t>
            </w:r>
            <w:r>
              <w:rPr>
                <w:rFonts w:hint="eastAsia" w:ascii="宋体" w:hAnsi="宋体" w:cs="宋体"/>
                <w:b/>
                <w:bCs/>
                <w:color w:val="auto"/>
                <w:szCs w:val="21"/>
                <w:highlight w:val="none"/>
              </w:rPr>
              <w:t>；</w:t>
            </w:r>
          </w:p>
          <w:p w14:paraId="0A756FE9">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桌腿</w:t>
            </w:r>
            <w:r>
              <w:rPr>
                <w:rFonts w:ascii="宋体" w:hAnsi="宋体" w:cs="宋体"/>
                <w:color w:val="auto"/>
                <w:szCs w:val="21"/>
                <w:highlight w:val="none"/>
              </w:rPr>
              <w:t>：</w:t>
            </w:r>
            <w:r>
              <w:rPr>
                <w:rFonts w:hint="eastAsia" w:ascii="宋体" w:hAnsi="宋体" w:cs="宋体"/>
                <w:color w:val="auto"/>
                <w:szCs w:val="21"/>
                <w:highlight w:val="none"/>
              </w:rPr>
              <w:t>选用优质钢材尺寸不低于50*50mm，材质强度高、韧性好，屈服强度≥235MPa，抗拉强度≥375MPa ；</w:t>
            </w:r>
          </w:p>
          <w:p w14:paraId="5F8AA828">
            <w:pPr>
              <w:keepNext/>
              <w:keepLines w:val="0"/>
              <w:pageBreakBefore w:val="0"/>
              <w:widowControl w:val="0"/>
              <w:kinsoku/>
              <w:wordWrap/>
              <w:overflowPunct/>
              <w:topLinePunct w:val="0"/>
              <w:autoSpaceDE/>
              <w:autoSpaceDN/>
              <w:bidi w:val="0"/>
              <w:adjustRightInd/>
              <w:snapToGrid/>
              <w:spacing w:line="440" w:lineRule="exact"/>
              <w:jc w:val="left"/>
              <w:textAlignment w:val="center"/>
              <w:rPr>
                <w:rFonts w:ascii="宋体" w:hAnsi="宋体" w:cs="宋体"/>
                <w:b/>
                <w:bCs/>
                <w:color w:val="auto"/>
                <w:szCs w:val="21"/>
                <w:highlight w:val="none"/>
              </w:rPr>
            </w:pPr>
            <w:r>
              <w:rPr>
                <w:rFonts w:ascii="宋体" w:hAnsi="宋体" w:cs="宋体"/>
                <w:b/>
                <w:bCs/>
                <w:color w:val="auto"/>
                <w:szCs w:val="21"/>
                <w:highlight w:val="none"/>
              </w:rPr>
              <w:t>6、</w:t>
            </w:r>
            <w:r>
              <w:rPr>
                <w:rFonts w:hint="eastAsia" w:ascii="宋体" w:hAnsi="宋体" w:cs="宋体"/>
                <w:b/>
                <w:bCs/>
                <w:color w:val="auto"/>
                <w:szCs w:val="21"/>
                <w:highlight w:val="none"/>
                <w:lang w:eastAsia="zh-CN"/>
              </w:rPr>
              <w:t>参与投标的供应商，须在投标文件中提交关于此产品的参数响应承诺书，</w:t>
            </w:r>
            <w:r>
              <w:rPr>
                <w:rFonts w:hint="eastAsia" w:ascii="宋体" w:hAnsi="宋体" w:cs="宋体"/>
                <w:b/>
                <w:bCs/>
                <w:color w:val="auto"/>
                <w:szCs w:val="21"/>
                <w:highlight w:val="none"/>
                <w:lang w:val="en-US" w:eastAsia="zh-CN"/>
              </w:rPr>
              <w:t>承诺书中须明确表示：接受中标后按采购人要求提供样品进行展示并协助进行产品参数的验证，</w:t>
            </w:r>
            <w:r>
              <w:rPr>
                <w:rFonts w:hint="eastAsia" w:ascii="宋体" w:hAnsi="宋体" w:cs="宋体"/>
                <w:b/>
                <w:bCs/>
                <w:color w:val="auto"/>
                <w:szCs w:val="21"/>
                <w:highlight w:val="none"/>
                <w:lang w:eastAsia="zh-CN"/>
              </w:rPr>
              <w:t>接受中标后按采购人</w:t>
            </w:r>
            <w:r>
              <w:rPr>
                <w:rFonts w:hint="eastAsia" w:ascii="宋体" w:hAnsi="宋体" w:cs="宋体"/>
                <w:b/>
                <w:bCs/>
                <w:color w:val="auto"/>
                <w:szCs w:val="21"/>
                <w:highlight w:val="none"/>
                <w:lang w:val="en-US" w:eastAsia="zh-CN"/>
              </w:rPr>
              <w:t>需求提供产品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接受</w:t>
            </w:r>
            <w:r>
              <w:rPr>
                <w:rFonts w:hint="eastAsia" w:ascii="宋体" w:hAnsi="宋体" w:cs="宋体"/>
                <w:b/>
                <w:bCs/>
                <w:color w:val="auto"/>
                <w:szCs w:val="21"/>
                <w:highlight w:val="none"/>
                <w:lang w:eastAsia="zh-CN"/>
              </w:rPr>
              <w:t>按照采购人的要求将产品安装到指定位置，</w:t>
            </w:r>
            <w:r>
              <w:rPr>
                <w:rFonts w:hint="eastAsia" w:ascii="宋体" w:hAnsi="宋体" w:cs="宋体"/>
                <w:b/>
                <w:bCs/>
                <w:color w:val="auto"/>
                <w:szCs w:val="21"/>
                <w:highlight w:val="none"/>
                <w:lang w:val="en-US" w:eastAsia="zh-CN"/>
              </w:rPr>
              <w:t>承诺并</w:t>
            </w:r>
            <w:r>
              <w:rPr>
                <w:rFonts w:hint="eastAsia" w:ascii="宋体" w:hAnsi="宋体" w:cs="宋体"/>
                <w:b/>
                <w:bCs/>
                <w:color w:val="auto"/>
                <w:szCs w:val="21"/>
                <w:highlight w:val="none"/>
                <w:lang w:eastAsia="zh-CN"/>
              </w:rPr>
              <w:t>确保交付的产品符合或优于上述参数要求。</w:t>
            </w:r>
          </w:p>
        </w:tc>
        <w:tc>
          <w:tcPr>
            <w:tcW w:w="675" w:type="dxa"/>
            <w:tcBorders>
              <w:tl2br w:val="nil"/>
              <w:tr2bl w:val="nil"/>
            </w:tcBorders>
            <w:shd w:val="clear" w:color="auto" w:fill="FFFFFF"/>
            <w:noWrap/>
            <w:vAlign w:val="center"/>
          </w:tcPr>
          <w:p w14:paraId="1540D3CC">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张</w:t>
            </w:r>
          </w:p>
        </w:tc>
        <w:tc>
          <w:tcPr>
            <w:tcW w:w="700" w:type="dxa"/>
            <w:tcBorders>
              <w:tl2br w:val="nil"/>
              <w:tr2bl w:val="nil"/>
            </w:tcBorders>
            <w:shd w:val="clear" w:color="auto" w:fill="FFFFFF"/>
            <w:noWrap/>
            <w:vAlign w:val="center"/>
          </w:tcPr>
          <w:p w14:paraId="39ECDCDC">
            <w:pPr>
              <w:keepNext/>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kern w:val="0"/>
                <w:sz w:val="22"/>
                <w:szCs w:val="22"/>
                <w:highlight w:val="none"/>
                <w:lang w:bidi="ar"/>
              </w:rPr>
              <w:t>12</w:t>
            </w:r>
          </w:p>
        </w:tc>
        <w:tc>
          <w:tcPr>
            <w:tcW w:w="4488" w:type="dxa"/>
            <w:tcBorders>
              <w:tl2br w:val="nil"/>
              <w:tr2bl w:val="nil"/>
            </w:tcBorders>
            <w:shd w:val="clear" w:color="auto" w:fill="FFFFFF"/>
            <w:noWrap/>
            <w:vAlign w:val="center"/>
          </w:tcPr>
          <w:p w14:paraId="10ADED86">
            <w:pPr>
              <w:keepNext/>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kern w:val="0"/>
                <w:sz w:val="22"/>
                <w:szCs w:val="22"/>
                <w:highlight w:val="none"/>
                <w:lang w:bidi="ar"/>
              </w:rPr>
            </w:pPr>
            <w:r>
              <w:rPr>
                <w:rFonts w:ascii="宋体" w:hAnsi="宋体" w:cs="宋体"/>
                <w:b/>
                <w:bCs/>
                <w:color w:val="auto"/>
                <w:szCs w:val="21"/>
                <w:highlight w:val="none"/>
              </w:rPr>
              <w:drawing>
                <wp:inline distT="0" distB="0" distL="114300" distR="114300">
                  <wp:extent cx="3098165" cy="2421890"/>
                  <wp:effectExtent l="0" t="0" r="6985" b="16510"/>
                  <wp:docPr id="43" name="图片 43" descr="c3455410c10a6774253c41bad3a2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3455410c10a6774253c41bad3a2b0a"/>
                          <pic:cNvPicPr>
                            <a:picLocks noChangeAspect="1"/>
                          </pic:cNvPicPr>
                        </pic:nvPicPr>
                        <pic:blipFill>
                          <a:blip r:embed="rId26"/>
                          <a:srcRect t="12023" b="9818"/>
                          <a:stretch>
                            <a:fillRect/>
                          </a:stretch>
                        </pic:blipFill>
                        <pic:spPr>
                          <a:xfrm>
                            <a:off x="0" y="0"/>
                            <a:ext cx="3098165" cy="2421890"/>
                          </a:xfrm>
                          <a:prstGeom prst="rect">
                            <a:avLst/>
                          </a:prstGeom>
                        </pic:spPr>
                      </pic:pic>
                    </a:graphicData>
                  </a:graphic>
                </wp:inline>
              </w:drawing>
            </w:r>
          </w:p>
        </w:tc>
      </w:tr>
      <w:tr w14:paraId="58B37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5050" w:type="dxa"/>
            <w:gridSpan w:val="6"/>
            <w:tcBorders>
              <w:tl2br w:val="nil"/>
              <w:tr2bl w:val="nil"/>
            </w:tcBorders>
            <w:shd w:val="clear" w:color="auto" w:fill="FFFFFF"/>
            <w:noWrap/>
            <w:vAlign w:val="center"/>
          </w:tcPr>
          <w:p w14:paraId="68EEAB2A">
            <w:pPr>
              <w:keepNext/>
              <w:keepLines w:val="0"/>
              <w:pageBreakBefore w:val="0"/>
              <w:widowControl w:val="0"/>
              <w:suppressLineNumbers w:val="0"/>
              <w:kinsoku/>
              <w:wordWrap/>
              <w:overflowPunct/>
              <w:topLinePunct w:val="0"/>
              <w:autoSpaceDE/>
              <w:autoSpaceDN/>
              <w:bidi w:val="0"/>
              <w:adjustRightInd/>
              <w:snapToGrid/>
              <w:jc w:val="left"/>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特别说明：除上述采购内容外，还包含原有家具的拆装、搬运及打扫，强弱电接入，面板和家具的安装。</w:t>
            </w:r>
          </w:p>
        </w:tc>
      </w:tr>
    </w:tbl>
    <w:p w14:paraId="08A2977C">
      <w:pPr>
        <w:pStyle w:val="22"/>
        <w:numPr>
          <w:ilvl w:val="0"/>
          <w:numId w:val="0"/>
        </w:numPr>
        <w:jc w:val="both"/>
        <w:rPr>
          <w:rFonts w:hint="eastAsia" w:ascii="宋体" w:hAnsi="宋体" w:cs="宋体"/>
          <w:b/>
          <w:color w:val="auto"/>
          <w:sz w:val="32"/>
          <w:szCs w:val="32"/>
          <w:highlight w:val="none"/>
          <w:lang w:eastAsia="zh-CN"/>
        </w:rPr>
      </w:pPr>
    </w:p>
    <w:p w14:paraId="39C4CFD9">
      <w:pPr>
        <w:rPr>
          <w:color w:val="auto"/>
          <w:highlight w:val="none"/>
        </w:rPr>
      </w:pPr>
      <w:bookmarkStart w:id="139" w:name="_Toc18551"/>
    </w:p>
    <w:p w14:paraId="0F420A72">
      <w:pPr>
        <w:keepNext/>
        <w:tabs>
          <w:tab w:val="left" w:pos="420"/>
        </w:tabs>
        <w:spacing w:line="440" w:lineRule="exact"/>
        <w:ind w:firstLine="420"/>
        <w:jc w:val="left"/>
        <w:outlineLvl w:val="2"/>
        <w:rPr>
          <w:rFonts w:ascii="宋体"/>
          <w:b/>
          <w:color w:val="auto"/>
          <w:szCs w:val="21"/>
          <w:highlight w:val="none"/>
        </w:rPr>
      </w:pPr>
    </w:p>
    <w:p w14:paraId="035CAE5A">
      <w:pPr>
        <w:keepNext/>
        <w:tabs>
          <w:tab w:val="left" w:pos="420"/>
        </w:tabs>
        <w:spacing w:line="440" w:lineRule="exact"/>
        <w:jc w:val="left"/>
        <w:outlineLvl w:val="2"/>
        <w:rPr>
          <w:rFonts w:ascii="宋体"/>
          <w:b/>
          <w:color w:val="auto"/>
          <w:sz w:val="24"/>
          <w:highlight w:val="none"/>
        </w:rPr>
        <w:sectPr>
          <w:pgSz w:w="16838" w:h="11906" w:orient="landscape"/>
          <w:pgMar w:top="1417" w:right="1134" w:bottom="1417" w:left="1134" w:header="850" w:footer="992" w:gutter="0"/>
          <w:pgNumType w:fmt="decimal"/>
          <w:cols w:space="0" w:num="1"/>
          <w:rtlGutter w:val="0"/>
          <w:docGrid w:type="lines" w:linePitch="324" w:charSpace="0"/>
        </w:sectPr>
      </w:pPr>
    </w:p>
    <w:bookmarkEnd w:id="139"/>
    <w:p w14:paraId="40471D45">
      <w:pPr>
        <w:pageBreakBefore/>
        <w:spacing w:before="162" w:beforeLines="50" w:after="162" w:afterLines="50" w:line="440" w:lineRule="exact"/>
        <w:jc w:val="center"/>
        <w:outlineLvl w:val="1"/>
        <w:rPr>
          <w:b/>
          <w:color w:val="auto"/>
          <w:sz w:val="30"/>
          <w:szCs w:val="30"/>
          <w:highlight w:val="none"/>
        </w:rPr>
      </w:pPr>
      <w:bookmarkStart w:id="140" w:name="_Toc30219"/>
      <w:r>
        <w:rPr>
          <w:rFonts w:hint="eastAsia" w:ascii="宋体" w:hAnsi="宋体" w:cs="宋体"/>
          <w:b/>
          <w:bCs/>
          <w:color w:val="auto"/>
          <w:sz w:val="32"/>
          <w:szCs w:val="32"/>
          <w:highlight w:val="none"/>
        </w:rPr>
        <w:t>第四章  合同条款及格式</w:t>
      </w:r>
      <w:bookmarkEnd w:id="140"/>
      <w:bookmarkStart w:id="141" w:name="_Toc58430330"/>
    </w:p>
    <w:bookmarkEnd w:id="141"/>
    <w:p w14:paraId="033AB8DC">
      <w:pPr>
        <w:widowControl/>
        <w:spacing w:line="440" w:lineRule="exact"/>
        <w:jc w:val="center"/>
        <w:textAlignment w:val="baseline"/>
        <w:outlineLvl w:val="2"/>
        <w:rPr>
          <w:rFonts w:ascii="黑体" w:eastAsia="黑体"/>
          <w:b/>
          <w:color w:val="auto"/>
          <w:szCs w:val="21"/>
          <w:highlight w:val="none"/>
        </w:rPr>
      </w:pPr>
      <w:bookmarkStart w:id="142" w:name="_Toc15626"/>
      <w:bookmarkStart w:id="143" w:name="_Toc23143"/>
      <w:r>
        <w:rPr>
          <w:rFonts w:hint="eastAsia" w:ascii="宋体"/>
          <w:b/>
          <w:color w:val="auto"/>
          <w:szCs w:val="21"/>
          <w:highlight w:val="none"/>
        </w:rPr>
        <w:t>一、合同协议书（格式）</w:t>
      </w:r>
      <w:bookmarkEnd w:id="142"/>
      <w:bookmarkEnd w:id="143"/>
    </w:p>
    <w:p w14:paraId="7ED28CC3">
      <w:pPr>
        <w:spacing w:line="440" w:lineRule="exact"/>
        <w:ind w:firstLine="420" w:firstLineChars="200"/>
        <w:rPr>
          <w:rFonts w:ascii="宋体"/>
          <w:bCs/>
          <w:color w:val="auto"/>
          <w:szCs w:val="21"/>
          <w:highlight w:val="none"/>
        </w:rPr>
      </w:pPr>
      <w:r>
        <w:rPr>
          <w:rFonts w:hint="eastAsia" w:ascii="宋体"/>
          <w:bCs/>
          <w:color w:val="auto"/>
          <w:szCs w:val="21"/>
          <w:highlight w:val="none"/>
        </w:rPr>
        <w:t>合同名称             编号</w:t>
      </w:r>
    </w:p>
    <w:p w14:paraId="6E6F019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买    方：                                   卖    方：</w:t>
      </w:r>
    </w:p>
    <w:p w14:paraId="339BD14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    话：                                   电    话：</w:t>
      </w:r>
    </w:p>
    <w:p w14:paraId="7BB91E4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住    所：                                   住    所：                       </w:t>
      </w:r>
    </w:p>
    <w:p w14:paraId="07CCA46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（买方）</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中所需</w:t>
      </w:r>
      <w:r>
        <w:rPr>
          <w:rFonts w:hint="eastAsia" w:ascii="宋体" w:hAnsi="宋体" w:cs="宋体"/>
          <w:color w:val="auto"/>
          <w:szCs w:val="21"/>
          <w:highlight w:val="none"/>
          <w:u w:val="single"/>
        </w:rPr>
        <w:t>（产品名称）</w:t>
      </w:r>
      <w:r>
        <w:rPr>
          <w:rFonts w:hint="eastAsia" w:ascii="宋体" w:hAnsi="宋体" w:cs="宋体"/>
          <w:color w:val="auto"/>
          <w:szCs w:val="21"/>
          <w:highlight w:val="none"/>
        </w:rPr>
        <w:t xml:space="preserve"> 经公开招标，确定</w:t>
      </w:r>
      <w:r>
        <w:rPr>
          <w:rFonts w:hint="eastAsia" w:ascii="宋体" w:hAnsi="宋体" w:cs="宋体"/>
          <w:color w:val="auto"/>
          <w:szCs w:val="21"/>
          <w:highlight w:val="none"/>
          <w:u w:val="single"/>
        </w:rPr>
        <w:t>（卖方）</w:t>
      </w:r>
      <w:r>
        <w:rPr>
          <w:rFonts w:hint="eastAsia" w:ascii="宋体" w:hAnsi="宋体" w:cs="宋体"/>
          <w:color w:val="auto"/>
          <w:szCs w:val="21"/>
          <w:highlight w:val="none"/>
        </w:rPr>
        <w:t>为中标人。按照《中华人民共和国民法典》的规定，买卖双方同意按照下述的条款和条件，签署本合同。</w:t>
      </w:r>
    </w:p>
    <w:p w14:paraId="50CBC5E1">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1.本合同文件</w:t>
      </w:r>
    </w:p>
    <w:p w14:paraId="3473270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下列每一文件均应作为合同的组成部分进行阅读和解释：</w:t>
      </w:r>
    </w:p>
    <w:p w14:paraId="40ABF1C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（1）采购文件（2）投标文件（3）中标通知书（4）经双方确认进入合同的其他文件、补充条款或说明</w:t>
      </w:r>
    </w:p>
    <w:p w14:paraId="1F685EA1">
      <w:p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2.采购标的、数量、质量要求</w:t>
      </w:r>
    </w:p>
    <w:p w14:paraId="0203047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3.合同总价：合同总价为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元人民币。</w:t>
      </w:r>
    </w:p>
    <w:p w14:paraId="48CEB84C">
      <w:pPr>
        <w:spacing w:line="440" w:lineRule="exact"/>
        <w:ind w:firstLine="420" w:firstLineChars="200"/>
        <w:jc w:val="left"/>
        <w:rPr>
          <w:b w:val="0"/>
          <w:bCs w:val="0"/>
          <w:color w:val="auto"/>
          <w:highlight w:val="none"/>
        </w:rPr>
      </w:pPr>
      <w:r>
        <w:rPr>
          <w:rFonts w:hint="eastAsia" w:ascii="宋体" w:hAnsi="宋体" w:cs="宋体"/>
          <w:b w:val="0"/>
          <w:bCs w:val="0"/>
          <w:color w:val="auto"/>
          <w:szCs w:val="21"/>
          <w:highlight w:val="none"/>
        </w:rPr>
        <w:t>4.付款方式：供货</w:t>
      </w:r>
      <w:r>
        <w:rPr>
          <w:rFonts w:hint="eastAsia" w:ascii="宋体" w:hAnsi="宋体" w:cs="宋体"/>
          <w:b w:val="0"/>
          <w:bCs w:val="0"/>
          <w:color w:val="auto"/>
          <w:szCs w:val="21"/>
          <w:highlight w:val="none"/>
          <w:lang w:val="en-US" w:eastAsia="zh-CN"/>
        </w:rPr>
        <w:t>并安装</w:t>
      </w:r>
      <w:r>
        <w:rPr>
          <w:rFonts w:hint="eastAsia" w:ascii="宋体" w:hAnsi="宋体" w:cs="宋体"/>
          <w:b w:val="0"/>
          <w:bCs w:val="0"/>
          <w:color w:val="auto"/>
          <w:szCs w:val="21"/>
          <w:highlight w:val="none"/>
        </w:rPr>
        <w:t>完成，经验收合格后付全款</w:t>
      </w:r>
      <w:r>
        <w:rPr>
          <w:rFonts w:hint="eastAsia"/>
          <w:b w:val="0"/>
          <w:bCs w:val="0"/>
          <w:color w:val="auto"/>
          <w:highlight w:val="none"/>
        </w:rPr>
        <w:t>。</w:t>
      </w:r>
    </w:p>
    <w:p w14:paraId="3D811381">
      <w:pPr>
        <w:spacing w:line="44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5.合同供货（服务）期限：合同签订后15个日历天供货安装完毕</w:t>
      </w:r>
      <w:r>
        <w:rPr>
          <w:rFonts w:hint="eastAsia" w:ascii="宋体" w:hAnsi="宋体" w:cs="宋体"/>
          <w:color w:val="auto"/>
          <w:szCs w:val="21"/>
          <w:highlight w:val="none"/>
          <w:lang w:val="en-US" w:eastAsia="zh-CN"/>
        </w:rPr>
        <w:t>。</w:t>
      </w:r>
    </w:p>
    <w:p w14:paraId="1BD608D1">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6.售后服务响应要求：</w:t>
      </w:r>
    </w:p>
    <w:p w14:paraId="7D1D024E">
      <w:pPr>
        <w:spacing w:line="440" w:lineRule="exact"/>
        <w:ind w:firstLine="420" w:firstLineChars="200"/>
        <w:jc w:val="left"/>
        <w:rPr>
          <w:rFonts w:ascii="宋体" w:hAnsi="宋体" w:cs="宋体"/>
          <w:color w:val="auto"/>
          <w:szCs w:val="21"/>
          <w:highlight w:val="none"/>
        </w:rPr>
      </w:pPr>
      <w:r>
        <w:rPr>
          <w:rFonts w:hint="eastAsia" w:ascii="宋体" w:hAnsi="宋体"/>
          <w:color w:val="auto"/>
          <w:szCs w:val="21"/>
          <w:highlight w:val="none"/>
          <w:lang w:val="en-US" w:eastAsia="zh-CN"/>
        </w:rPr>
        <w:t>质保期：1</w:t>
      </w:r>
      <w:r>
        <w:rPr>
          <w:rFonts w:hint="eastAsia" w:ascii="宋体" w:hAnsi="宋体"/>
          <w:color w:val="auto"/>
          <w:szCs w:val="21"/>
          <w:highlight w:val="none"/>
        </w:rPr>
        <w:t>年。</w:t>
      </w:r>
    </w:p>
    <w:p w14:paraId="5CEE5602">
      <w:pPr>
        <w:numPr>
          <w:ilvl w:val="0"/>
          <w:numId w:val="3"/>
        </w:numPr>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合同的生效</w:t>
      </w:r>
    </w:p>
    <w:p w14:paraId="3E666551">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合同经双方授权代表签署，买卖双方加盖印章之后生效。</w:t>
      </w:r>
    </w:p>
    <w:p w14:paraId="79499F0D">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本合同一式     份，双方各执     份。</w:t>
      </w:r>
    </w:p>
    <w:p w14:paraId="1867B2A2">
      <w:pPr>
        <w:pStyle w:val="9"/>
        <w:spacing w:line="440" w:lineRule="exact"/>
        <w:ind w:firstLine="420" w:firstLineChars="200"/>
        <w:rPr>
          <w:rFonts w:ascii="宋体" w:hAnsi="宋体" w:cs="宋体"/>
          <w:color w:val="auto"/>
          <w:kern w:val="0"/>
          <w:sz w:val="21"/>
          <w:szCs w:val="21"/>
          <w:highlight w:val="none"/>
          <w:u w:color="000000"/>
        </w:rPr>
      </w:pPr>
      <w:bookmarkStart w:id="144" w:name="_Toc152045610"/>
      <w:bookmarkStart w:id="145" w:name="_Toc144974578"/>
      <w:bookmarkStart w:id="146" w:name="_Toc449028947"/>
      <w:bookmarkStart w:id="147" w:name="_Toc152042388"/>
      <w:bookmarkStart w:id="148" w:name="_Toc296602498"/>
      <w:bookmarkStart w:id="149" w:name="_Toc179632628"/>
      <w:bookmarkStart w:id="150" w:name="_Toc247085768"/>
      <w:bookmarkStart w:id="151" w:name="_Toc246996996"/>
      <w:bookmarkStart w:id="152" w:name="_Toc246996253"/>
      <w:r>
        <w:rPr>
          <w:rFonts w:hint="eastAsia" w:ascii="宋体" w:hAnsi="宋体" w:cs="宋体"/>
          <w:color w:val="auto"/>
          <w:kern w:val="0"/>
          <w:sz w:val="21"/>
          <w:szCs w:val="21"/>
          <w:highlight w:val="none"/>
          <w:u w:color="000000"/>
        </w:rPr>
        <w:t>买  方：                               卖  方：</w:t>
      </w:r>
    </w:p>
    <w:p w14:paraId="5D3C9C89">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名  称：（盖章）                       名  称：（盖章）</w:t>
      </w:r>
    </w:p>
    <w:p w14:paraId="794E09A2">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法定代表人（或委托代理人）：（签字）  法定代表人（或委托代理人）：（签字）</w:t>
      </w:r>
    </w:p>
    <w:p w14:paraId="41D49233">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地    址：                            地    址：</w:t>
      </w:r>
    </w:p>
    <w:p w14:paraId="12F97C3B">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邮政编码：                            邮政编码：</w:t>
      </w:r>
    </w:p>
    <w:p w14:paraId="081FA4C6">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电    话：                            电    话：</w:t>
      </w:r>
    </w:p>
    <w:p w14:paraId="41010264">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开户银行：                            开户银行：</w:t>
      </w:r>
    </w:p>
    <w:p w14:paraId="5EC59496">
      <w:pPr>
        <w:pStyle w:val="9"/>
        <w:spacing w:line="440" w:lineRule="exact"/>
        <w:ind w:firstLine="420" w:firstLineChars="200"/>
        <w:rPr>
          <w:rFonts w:ascii="宋体" w:hAnsi="宋体" w:cs="宋体"/>
          <w:color w:val="auto"/>
          <w:kern w:val="0"/>
          <w:sz w:val="21"/>
          <w:szCs w:val="21"/>
          <w:highlight w:val="none"/>
          <w:u w:color="000000"/>
        </w:rPr>
      </w:pPr>
      <w:r>
        <w:rPr>
          <w:rFonts w:hint="eastAsia" w:ascii="宋体" w:hAnsi="宋体" w:cs="宋体"/>
          <w:color w:val="auto"/>
          <w:kern w:val="0"/>
          <w:sz w:val="21"/>
          <w:szCs w:val="21"/>
          <w:highlight w:val="none"/>
          <w:u w:color="000000"/>
        </w:rPr>
        <w:t>帐    号：                            帐    号：</w:t>
      </w:r>
    </w:p>
    <w:p w14:paraId="5CE22BA9">
      <w:pPr>
        <w:widowControl/>
        <w:spacing w:line="400" w:lineRule="exact"/>
        <w:jc w:val="center"/>
        <w:textAlignment w:val="baseline"/>
        <w:outlineLvl w:val="2"/>
        <w:rPr>
          <w:rFonts w:ascii="黑体" w:eastAsia="黑体"/>
          <w:b/>
          <w:color w:val="auto"/>
          <w:sz w:val="30"/>
          <w:szCs w:val="30"/>
          <w:highlight w:val="none"/>
        </w:rPr>
      </w:pPr>
      <w:r>
        <w:rPr>
          <w:rFonts w:ascii="黑体" w:eastAsia="黑体"/>
          <w:b/>
          <w:color w:val="auto"/>
          <w:sz w:val="30"/>
          <w:szCs w:val="30"/>
          <w:highlight w:val="none"/>
        </w:rPr>
        <w:br w:type="page"/>
      </w:r>
      <w:bookmarkStart w:id="153" w:name="_Toc6951"/>
      <w:bookmarkStart w:id="154" w:name="_Toc58430331"/>
      <w:bookmarkStart w:id="155" w:name="_Toc5798"/>
      <w:r>
        <w:rPr>
          <w:rFonts w:hint="eastAsia" w:ascii="宋体"/>
          <w:b/>
          <w:color w:val="auto"/>
          <w:sz w:val="30"/>
          <w:szCs w:val="30"/>
          <w:highlight w:val="none"/>
        </w:rPr>
        <w:t>二、合同条款</w:t>
      </w:r>
      <w:bookmarkEnd w:id="144"/>
      <w:bookmarkEnd w:id="145"/>
      <w:bookmarkEnd w:id="146"/>
      <w:bookmarkEnd w:id="147"/>
      <w:bookmarkEnd w:id="148"/>
      <w:bookmarkEnd w:id="149"/>
      <w:bookmarkEnd w:id="150"/>
      <w:bookmarkEnd w:id="151"/>
      <w:bookmarkEnd w:id="152"/>
      <w:bookmarkEnd w:id="153"/>
      <w:bookmarkEnd w:id="154"/>
      <w:bookmarkEnd w:id="155"/>
    </w:p>
    <w:p w14:paraId="6BB1E52F">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一.  合同文件</w:t>
      </w:r>
    </w:p>
    <w:p w14:paraId="22B22068">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1.合同文件适用法律</w:t>
      </w:r>
    </w:p>
    <w:p w14:paraId="2691F1A7">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适用于合同文件的法律是中华人民共和国现行法律法规及采购人所在地的地方性法规。</w:t>
      </w:r>
    </w:p>
    <w:p w14:paraId="47F04C2A">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2.合同文件组成和解释顺序</w:t>
      </w:r>
    </w:p>
    <w:p w14:paraId="68A6BF72">
      <w:pPr>
        <w:spacing w:line="440" w:lineRule="exact"/>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（1）合同文件的组成和解释顺序如下：</w:t>
      </w:r>
    </w:p>
    <w:p w14:paraId="600B709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&lt;1〉合同的主要条款；</w:t>
      </w:r>
    </w:p>
    <w:p w14:paraId="31EB84E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&lt;2〉合同的一般性条款；</w:t>
      </w:r>
    </w:p>
    <w:p w14:paraId="3356A4A1">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&lt;3〉洽商、变更等明确双方权利义务的纪要、协议；</w:t>
      </w:r>
    </w:p>
    <w:p w14:paraId="1DF680FE">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&lt;4〉中标通知书、投标文件和采购文件；</w:t>
      </w:r>
    </w:p>
    <w:p w14:paraId="14BF5536">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&lt;5〉有关图纸、标准、规范和其他有关技术资料、技术要求。</w:t>
      </w:r>
    </w:p>
    <w:p w14:paraId="0B34B04B">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&lt;6〉合同的主要条款的效力优于合同的一般性条款的效力。</w:t>
      </w:r>
    </w:p>
    <w:p w14:paraId="7F5BDF25">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3.合同文件使用文字</w:t>
      </w:r>
    </w:p>
    <w:p w14:paraId="028C8D99">
      <w:pPr>
        <w:pStyle w:val="6"/>
        <w:spacing w:line="440" w:lineRule="exact"/>
        <w:ind w:firstLine="420" w:firstLineChars="200"/>
        <w:jc w:val="left"/>
        <w:outlineLvl w:val="4"/>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（1）合同文件使用中文书写、解释和说明。</w:t>
      </w:r>
    </w:p>
    <w:p w14:paraId="6520E37F">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 xml:space="preserve">（2）合同文件使用技术性条款约定的为国家标准和规范；国家没有相应标准、规范时，可使用行业标准、规范。非标货物应按约定的技术性条款的标准和规范。 </w:t>
      </w:r>
    </w:p>
    <w:p w14:paraId="39C472D4">
      <w:pPr>
        <w:spacing w:line="440" w:lineRule="exact"/>
        <w:ind w:firstLine="422" w:firstLineChars="200"/>
        <w:jc w:val="left"/>
        <w:outlineLvl w:val="2"/>
        <w:rPr>
          <w:rFonts w:ascii="宋体" w:hAnsi="宋体" w:cs="宋体"/>
          <w:b/>
          <w:color w:val="auto"/>
          <w:szCs w:val="21"/>
          <w:highlight w:val="none"/>
        </w:rPr>
      </w:pPr>
      <w:bookmarkStart w:id="156" w:name="_Toc24159"/>
      <w:r>
        <w:rPr>
          <w:rFonts w:hint="eastAsia" w:ascii="宋体" w:hAnsi="宋体" w:cs="宋体"/>
          <w:b/>
          <w:color w:val="auto"/>
          <w:szCs w:val="21"/>
          <w:highlight w:val="none"/>
        </w:rPr>
        <w:t>二.  标的物的一般条款</w:t>
      </w:r>
      <w:bookmarkEnd w:id="156"/>
    </w:p>
    <w:p w14:paraId="40760AE1">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4.完整物权</w:t>
      </w:r>
    </w:p>
    <w:p w14:paraId="0B8C27BE">
      <w:pPr>
        <w:tabs>
          <w:tab w:val="left" w:pos="660"/>
        </w:tabs>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对于出卖的标的物，卖方应当拥有完整物权，并且卖方负有保证第三人不得向买方主张任何权利（包括知识产权）的义务。</w:t>
      </w:r>
    </w:p>
    <w:p w14:paraId="1ADD5AE0">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5.质量保证</w:t>
      </w:r>
    </w:p>
    <w:p w14:paraId="38F3F55A">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卖方应保证所提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02185D75">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0078BA15">
      <w:pPr>
        <w:pStyle w:val="6"/>
        <w:tabs>
          <w:tab w:val="left" w:pos="900"/>
        </w:tabs>
        <w:overflowPunct w:val="0"/>
        <w:spacing w:line="440" w:lineRule="exact"/>
        <w:ind w:firstLine="420" w:firstLineChars="200"/>
        <w:jc w:val="left"/>
        <w:rPr>
          <w:rFonts w:hint="eastAsia" w:ascii="宋体" w:hAnsi="宋体" w:cs="宋体"/>
          <w:color w:val="auto"/>
          <w:sz w:val="21"/>
          <w:szCs w:val="21"/>
          <w:highlight w:val="none"/>
          <w:u w:color="000000"/>
        </w:rPr>
      </w:pPr>
      <w:r>
        <w:rPr>
          <w:rFonts w:hint="eastAsia" w:ascii="宋体" w:hAnsi="宋体" w:cs="宋体"/>
          <w:color w:val="auto"/>
          <w:sz w:val="21"/>
          <w:szCs w:val="21"/>
          <w:highlight w:val="none"/>
          <w:u w:color="000000"/>
        </w:rPr>
        <w:t>（3）除合同主要条款规定外，合同条款中标的物的质量保证期均自标的物通过最终验收之日起计算，且质量保证期按不低于国家标准和卖方承诺的高于国家标准的质保期（卖方有特殊要求的除外）。</w:t>
      </w:r>
      <w:r>
        <w:rPr>
          <w:rFonts w:hint="eastAsia" w:ascii="宋体" w:hAnsi="宋体" w:cs="宋体"/>
          <w:color w:val="auto"/>
          <w:sz w:val="21"/>
          <w:szCs w:val="21"/>
          <w:highlight w:val="none"/>
          <w:u w:color="000000"/>
        </w:rPr>
        <w:br w:type="textWrapping"/>
      </w:r>
      <w:r>
        <w:rPr>
          <w:rFonts w:hint="eastAsia" w:ascii="宋体" w:hAnsi="宋体" w:cs="宋体"/>
          <w:color w:val="auto"/>
          <w:sz w:val="21"/>
          <w:szCs w:val="21"/>
          <w:highlight w:val="none"/>
          <w:u w:color="000000"/>
          <w:lang w:val="en-US" w:eastAsia="zh-CN"/>
        </w:rPr>
        <w:t xml:space="preserve">    </w:t>
      </w:r>
      <w:r>
        <w:rPr>
          <w:rFonts w:hint="eastAsia" w:ascii="宋体" w:hAnsi="宋体" w:cs="宋体"/>
          <w:color w:val="auto"/>
          <w:sz w:val="21"/>
          <w:szCs w:val="21"/>
          <w:highlight w:val="none"/>
          <w:u w:color="000000"/>
        </w:rPr>
        <w:t>（</w:t>
      </w:r>
      <w:r>
        <w:rPr>
          <w:rFonts w:hint="eastAsia" w:ascii="宋体" w:hAnsi="宋体" w:cs="宋体"/>
          <w:color w:val="auto"/>
          <w:sz w:val="21"/>
          <w:szCs w:val="21"/>
          <w:highlight w:val="none"/>
          <w:u w:color="000000"/>
          <w:lang w:val="en-US" w:eastAsia="zh-CN"/>
        </w:rPr>
        <w:t>4</w:t>
      </w:r>
      <w:r>
        <w:rPr>
          <w:rFonts w:hint="eastAsia" w:ascii="宋体" w:hAnsi="宋体" w:cs="宋体"/>
          <w:color w:val="auto"/>
          <w:sz w:val="21"/>
          <w:szCs w:val="21"/>
          <w:highlight w:val="none"/>
          <w:u w:color="000000"/>
        </w:rPr>
        <w:t>）质保及售后服务：</w:t>
      </w:r>
    </w:p>
    <w:p w14:paraId="60616E2F">
      <w:pPr>
        <w:pStyle w:val="6"/>
        <w:tabs>
          <w:tab w:val="left" w:pos="900"/>
        </w:tabs>
        <w:overflowPunct w:val="0"/>
        <w:spacing w:line="440" w:lineRule="exact"/>
        <w:ind w:firstLine="420" w:firstLineChars="200"/>
        <w:jc w:val="left"/>
        <w:rPr>
          <w:rFonts w:hint="eastAsia" w:ascii="宋体" w:hAnsi="宋体" w:cs="宋体"/>
          <w:color w:val="auto"/>
          <w:sz w:val="21"/>
          <w:szCs w:val="21"/>
          <w:highlight w:val="none"/>
          <w:u w:color="000000"/>
        </w:rPr>
      </w:pPr>
      <w:r>
        <w:rPr>
          <w:rFonts w:hint="eastAsia" w:ascii="宋体" w:hAnsi="宋体" w:cs="宋体"/>
          <w:color w:val="auto"/>
          <w:sz w:val="21"/>
          <w:szCs w:val="21"/>
          <w:highlight w:val="none"/>
          <w:u w:color="000000"/>
          <w:lang w:val="en-US" w:eastAsia="zh-CN"/>
        </w:rPr>
        <w:t>①以投标人自行承诺质保期为准，至少1年</w:t>
      </w:r>
      <w:r>
        <w:rPr>
          <w:rFonts w:hint="eastAsia" w:ascii="宋体" w:hAnsi="宋体" w:cs="宋体"/>
          <w:color w:val="auto"/>
          <w:sz w:val="21"/>
          <w:szCs w:val="21"/>
          <w:highlight w:val="none"/>
          <w:u w:color="000000"/>
        </w:rPr>
        <w:t>的免费质保服务</w:t>
      </w:r>
      <w:r>
        <w:rPr>
          <w:rFonts w:hint="eastAsia" w:ascii="宋体" w:hAnsi="宋体" w:cs="宋体"/>
          <w:color w:val="auto"/>
          <w:sz w:val="21"/>
          <w:szCs w:val="21"/>
          <w:highlight w:val="none"/>
          <w:u w:color="000000"/>
          <w:lang w:eastAsia="zh-CN"/>
        </w:rPr>
        <w:t>，</w:t>
      </w:r>
      <w:r>
        <w:rPr>
          <w:rFonts w:hint="eastAsia" w:ascii="宋体" w:hAnsi="宋体" w:cs="宋体"/>
          <w:color w:val="auto"/>
          <w:sz w:val="21"/>
          <w:szCs w:val="21"/>
          <w:highlight w:val="none"/>
          <w:u w:color="000000"/>
        </w:rPr>
        <w:t>所有质保费用均已包含在投标报价中，</w:t>
      </w:r>
      <w:r>
        <w:rPr>
          <w:rFonts w:hint="eastAsia" w:ascii="宋体" w:hAnsi="宋体" w:cs="宋体"/>
          <w:color w:val="auto"/>
          <w:sz w:val="21"/>
          <w:szCs w:val="21"/>
          <w:highlight w:val="none"/>
          <w:u w:color="000000"/>
          <w:lang w:val="en-US" w:eastAsia="zh-CN"/>
        </w:rPr>
        <w:t>质保期</w:t>
      </w:r>
      <w:r>
        <w:rPr>
          <w:rFonts w:hint="eastAsia" w:ascii="宋体" w:hAnsi="宋体" w:cs="宋体"/>
          <w:color w:val="auto"/>
          <w:sz w:val="21"/>
          <w:szCs w:val="21"/>
          <w:highlight w:val="none"/>
          <w:u w:color="000000"/>
        </w:rPr>
        <w:t>满后，应提供优先的有偿售后服务及按不高于投标文件中主要配件、易损件清单所报价格供应原厂零配件等。</w:t>
      </w:r>
    </w:p>
    <w:p w14:paraId="66F31678">
      <w:pPr>
        <w:pStyle w:val="6"/>
        <w:tabs>
          <w:tab w:val="left" w:pos="900"/>
        </w:tabs>
        <w:overflowPunct w:val="0"/>
        <w:spacing w:line="440" w:lineRule="exact"/>
        <w:ind w:firstLine="420" w:firstLineChars="200"/>
        <w:jc w:val="left"/>
        <w:rPr>
          <w:rFonts w:hint="eastAsia" w:ascii="宋体" w:hAnsi="宋体" w:cs="宋体"/>
          <w:color w:val="auto"/>
          <w:sz w:val="21"/>
          <w:szCs w:val="21"/>
          <w:highlight w:val="none"/>
          <w:u w:color="000000"/>
        </w:rPr>
      </w:pPr>
      <w:r>
        <w:rPr>
          <w:rFonts w:hint="eastAsia" w:ascii="宋体" w:hAnsi="宋体" w:cs="宋体"/>
          <w:color w:val="auto"/>
          <w:sz w:val="21"/>
          <w:szCs w:val="21"/>
          <w:highlight w:val="none"/>
          <w:u w:color="000000"/>
          <w:lang w:val="en-US" w:eastAsia="zh-CN"/>
        </w:rPr>
        <w:t>②</w:t>
      </w:r>
      <w:r>
        <w:rPr>
          <w:rFonts w:hint="eastAsia" w:ascii="宋体" w:hAnsi="宋体" w:cs="宋体"/>
          <w:color w:val="auto"/>
          <w:sz w:val="21"/>
          <w:szCs w:val="21"/>
          <w:highlight w:val="none"/>
          <w:u w:color="000000"/>
        </w:rPr>
        <w:t>中标供应商须设有维修服务电话，负责解答用户在货物使用中遇到的问题，及时提出解决问题的建议和操作方法。</w:t>
      </w:r>
    </w:p>
    <w:p w14:paraId="778319CD">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6.包装</w:t>
      </w:r>
    </w:p>
    <w:p w14:paraId="7B81D05E">
      <w:pPr>
        <w:pStyle w:val="6"/>
        <w:tabs>
          <w:tab w:val="left" w:pos="900"/>
        </w:tabs>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3E23B2F0">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7.伴随服务</w:t>
      </w:r>
    </w:p>
    <w:p w14:paraId="7A9486B6">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（1）卖方除应履行按期按量交付合格标的物的义务之外，还应提供下列服务：</w:t>
      </w:r>
    </w:p>
    <w:p w14:paraId="2F00F90B">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&lt;1〉标的物的现场安装或指导安装、启动、调试、监督（如果必须安装、调试的话）；</w:t>
      </w:r>
    </w:p>
    <w:p w14:paraId="535ED776">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&lt;2〉提供标的物组装和一般维修所必需的工具；</w:t>
      </w:r>
    </w:p>
    <w:p w14:paraId="787CBA1B">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&lt;3〉在合同规定的期限内对所提供标的物实行运行监督、维修服务的前提条件是该服务并不能免除卖方在质量保证期内所承担的义务；</w:t>
      </w:r>
    </w:p>
    <w:p w14:paraId="63FCA1C1">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&lt;4〉对买方技术人员的技术指导或培训。</w:t>
      </w:r>
    </w:p>
    <w:p w14:paraId="6DD6645E">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（2）除合同另有规定之外，伴随服务的费用均包含在合同价款中，买方不再另行进行支付。</w:t>
      </w:r>
    </w:p>
    <w:p w14:paraId="54D562A2">
      <w:pPr>
        <w:spacing w:line="440" w:lineRule="exact"/>
        <w:ind w:firstLine="422" w:firstLineChars="200"/>
        <w:jc w:val="left"/>
        <w:outlineLvl w:val="2"/>
        <w:rPr>
          <w:rFonts w:ascii="宋体" w:hAnsi="宋体" w:cs="宋体"/>
          <w:b/>
          <w:color w:val="auto"/>
          <w:szCs w:val="21"/>
          <w:highlight w:val="none"/>
        </w:rPr>
      </w:pPr>
      <w:bookmarkStart w:id="157" w:name="_Toc10370"/>
      <w:r>
        <w:rPr>
          <w:rFonts w:hint="eastAsia" w:ascii="宋体" w:hAnsi="宋体" w:cs="宋体"/>
          <w:b/>
          <w:color w:val="auto"/>
          <w:szCs w:val="21"/>
          <w:highlight w:val="none"/>
        </w:rPr>
        <w:t>三.  标的物的交付、检验和验收</w:t>
      </w:r>
      <w:bookmarkEnd w:id="157"/>
    </w:p>
    <w:p w14:paraId="1935BDB1">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8.标的物的交付</w:t>
      </w:r>
    </w:p>
    <w:p w14:paraId="3DBAE4CD">
      <w:pPr>
        <w:pStyle w:val="6"/>
        <w:spacing w:line="440" w:lineRule="exact"/>
        <w:ind w:firstLine="420" w:firstLineChars="200"/>
        <w:jc w:val="left"/>
        <w:outlineLvl w:val="4"/>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（1）标的物的所有权自标的物交付时转移。</w:t>
      </w:r>
    </w:p>
    <w:p w14:paraId="45E85A79">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（2）卖方应当按照约定的期限和约定的地点交付符合采购文件要求的标的物。</w:t>
      </w:r>
    </w:p>
    <w:p w14:paraId="7DE3B12A">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（3）卖方应当按照约定或者交易习惯向采购人交付提取标的物单证以外的有关单证和资料。</w:t>
      </w:r>
    </w:p>
    <w:p w14:paraId="231096F7">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9.检验和验收</w:t>
      </w:r>
    </w:p>
    <w:p w14:paraId="4E7C3B33">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0EF7F995">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（2）买方根据合同规定的内容和验收标准进行验收，经检验无误后出具验收合格证明，该证明作为最终付款所需文件的组成部分。</w:t>
      </w:r>
    </w:p>
    <w:p w14:paraId="5A2E8BBD">
      <w:pPr>
        <w:pStyle w:val="6"/>
        <w:overflowPunct w:val="0"/>
        <w:spacing w:line="440" w:lineRule="exact"/>
        <w:ind w:firstLine="420" w:firstLineChars="200"/>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w:t>
      </w:r>
      <w:r>
        <w:rPr>
          <w:rFonts w:hint="eastAsia" w:ascii="宋体" w:hAnsi="宋体" w:cs="宋体"/>
          <w:color w:val="auto"/>
          <w:sz w:val="21"/>
          <w:szCs w:val="21"/>
          <w:highlight w:val="none"/>
        </w:rPr>
        <w:t>验收期限自供应商履约完成且提出验收申请后5个工作日内由采购人组织专家进行验收，特殊情况需延长的，双方应在合同条款中约定特殊情况需延长的，双方应在合同条款中约定</w:t>
      </w:r>
      <w:r>
        <w:rPr>
          <w:rFonts w:hint="eastAsia" w:ascii="宋体" w:hAnsi="宋体" w:cs="宋体"/>
          <w:color w:val="auto"/>
          <w:sz w:val="21"/>
          <w:szCs w:val="21"/>
          <w:highlight w:val="none"/>
          <w:u w:color="000000"/>
        </w:rPr>
        <w:t>。</w:t>
      </w:r>
    </w:p>
    <w:p w14:paraId="46B3BDDB">
      <w:pPr>
        <w:spacing w:line="440" w:lineRule="exact"/>
        <w:ind w:firstLine="422" w:firstLineChars="200"/>
        <w:jc w:val="left"/>
        <w:outlineLvl w:val="2"/>
        <w:rPr>
          <w:rFonts w:ascii="宋体" w:hAnsi="宋体" w:cs="宋体"/>
          <w:b/>
          <w:color w:val="auto"/>
          <w:szCs w:val="21"/>
          <w:highlight w:val="none"/>
        </w:rPr>
      </w:pPr>
      <w:bookmarkStart w:id="158" w:name="_Toc25119"/>
      <w:r>
        <w:rPr>
          <w:rFonts w:hint="eastAsia" w:ascii="宋体" w:hAnsi="宋体" w:cs="宋体"/>
          <w:b/>
          <w:color w:val="auto"/>
          <w:szCs w:val="21"/>
          <w:highlight w:val="none"/>
        </w:rPr>
        <w:t>四. 对标的物提出异议的时间和办法</w:t>
      </w:r>
      <w:bookmarkEnd w:id="158"/>
    </w:p>
    <w:p w14:paraId="78875F7C">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 xml:space="preserve">10.对标的物提出异议的时间和办法 </w:t>
      </w:r>
    </w:p>
    <w:p w14:paraId="7C670B95">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（1）买方在验收过程中，应当于双方约定的检验期间内将标的物的数量或质量不符合约定的情形及处理方式以书面形式通知卖方。</w:t>
      </w:r>
    </w:p>
    <w:p w14:paraId="183456EE">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（2）如买方在验收期满后既不出具验收合格证明又未提出书面异议的视为卖方所交标的物符合合同规定。</w:t>
      </w:r>
    </w:p>
    <w:p w14:paraId="2AF7AF6B">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（3）卖方应在收到买方书面异议后七天内负责处理问题，否则将视为默认买方提出的异议和处理意见。</w:t>
      </w:r>
    </w:p>
    <w:p w14:paraId="7B11763B">
      <w:pPr>
        <w:spacing w:line="440" w:lineRule="exact"/>
        <w:ind w:firstLine="422" w:firstLineChars="200"/>
        <w:jc w:val="left"/>
        <w:outlineLvl w:val="2"/>
        <w:rPr>
          <w:rFonts w:ascii="宋体" w:hAnsi="宋体" w:cs="宋体"/>
          <w:b/>
          <w:color w:val="auto"/>
          <w:szCs w:val="21"/>
          <w:highlight w:val="none"/>
        </w:rPr>
      </w:pPr>
      <w:bookmarkStart w:id="159" w:name="_Toc14696"/>
      <w:r>
        <w:rPr>
          <w:rFonts w:hint="eastAsia" w:ascii="宋体" w:hAnsi="宋体" w:cs="宋体"/>
          <w:b/>
          <w:color w:val="auto"/>
          <w:szCs w:val="21"/>
          <w:highlight w:val="none"/>
        </w:rPr>
        <w:t>五. 合同价款和支付</w:t>
      </w:r>
      <w:bookmarkEnd w:id="159"/>
    </w:p>
    <w:p w14:paraId="67F1B7E2">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11.合同价款和支付</w:t>
      </w:r>
    </w:p>
    <w:p w14:paraId="3F283C15">
      <w:pPr>
        <w:pStyle w:val="6"/>
        <w:overflowPunct w:val="0"/>
        <w:spacing w:line="440" w:lineRule="exact"/>
        <w:ind w:firstLine="420" w:firstLineChars="200"/>
        <w:jc w:val="left"/>
        <w:outlineLvl w:val="4"/>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（1）本合同的结算货币为人民币，单位元。</w:t>
      </w:r>
    </w:p>
    <w:p w14:paraId="0595C973">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（2）卖方应按照双方签订的合同规定交货并在合同主要条款规定的期限内持下列单据结算货款：</w:t>
      </w:r>
    </w:p>
    <w:p w14:paraId="5E5DEFC2">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&lt;1〉合格的销售发票；</w:t>
      </w:r>
    </w:p>
    <w:p w14:paraId="54C3BB0B">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&lt;2〉验收合格证明。</w:t>
      </w:r>
    </w:p>
    <w:p w14:paraId="73EB7F77">
      <w:pPr>
        <w:pStyle w:val="6"/>
        <w:overflowPunct w:val="0"/>
        <w:spacing w:line="440" w:lineRule="exact"/>
        <w:ind w:firstLine="420" w:firstLineChars="200"/>
        <w:jc w:val="left"/>
        <w:outlineLvl w:val="4"/>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（3）买方应按合同主要条款规定的期限和方式付款。</w:t>
      </w:r>
    </w:p>
    <w:p w14:paraId="2C85FCB5">
      <w:pPr>
        <w:pStyle w:val="6"/>
        <w:tabs>
          <w:tab w:val="left" w:pos="540"/>
        </w:tabs>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（4）根据现行税法对买方征收的与本合同有关的一切税费均由买方承担；根据现行税法对卖方征收的与本合同有关的一切税费均由卖方承担。</w:t>
      </w:r>
    </w:p>
    <w:p w14:paraId="2B3C64A0">
      <w:pPr>
        <w:spacing w:line="440" w:lineRule="exact"/>
        <w:ind w:firstLine="422" w:firstLineChars="200"/>
        <w:jc w:val="left"/>
        <w:outlineLvl w:val="2"/>
        <w:rPr>
          <w:rFonts w:ascii="宋体" w:hAnsi="宋体" w:cs="宋体"/>
          <w:b/>
          <w:color w:val="auto"/>
          <w:szCs w:val="21"/>
          <w:highlight w:val="none"/>
        </w:rPr>
      </w:pPr>
      <w:bookmarkStart w:id="160" w:name="_Toc668"/>
      <w:r>
        <w:rPr>
          <w:rFonts w:hint="eastAsia" w:ascii="宋体" w:hAnsi="宋体" w:cs="宋体"/>
          <w:b/>
          <w:color w:val="auto"/>
          <w:szCs w:val="21"/>
          <w:highlight w:val="none"/>
        </w:rPr>
        <w:t>六. 违约责任</w:t>
      </w:r>
      <w:bookmarkEnd w:id="160"/>
    </w:p>
    <w:p w14:paraId="46ED22CB">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12.违约责任</w:t>
      </w:r>
    </w:p>
    <w:p w14:paraId="125CA954">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合同一方不履行合同义务或者履行合同义务不符合约定的，应当承担继续履行、采取补救措施或者赔偿损失等违约责任。</w:t>
      </w:r>
    </w:p>
    <w:p w14:paraId="07D8BE5B">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13.买方违约责任</w:t>
      </w:r>
    </w:p>
    <w:p w14:paraId="210B5D70">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（1）在合同生效后，买方要求退货的，应向卖方偿付合同总价款的5%，作为违约金，违约金不足以补偿损失的，卖方有权要求甲方补足。</w:t>
      </w:r>
    </w:p>
    <w:p w14:paraId="4C0C43E4">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（2）买方逾期付款的应按照逾期付款金额的每天万分之四支付逾期付款违约金。</w:t>
      </w:r>
    </w:p>
    <w:p w14:paraId="0D955022">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（3）买方违反合同规定，拒绝接收卖方交付的符合采购文件要求的合格标的物，应当承担卖方由此造成的损失。</w:t>
      </w:r>
    </w:p>
    <w:p w14:paraId="342FD4B6">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14.卖方违约责任</w:t>
      </w:r>
    </w:p>
    <w:p w14:paraId="2A0011FA">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（1）卖方不能交货（逾期超过五天视为不能交货），或交货不合格从而影响买方按期正常使用的，应向买方偿付合同总价款5%的违约金，违约金不足以补偿损失的，买方有权要求卖方补足。</w:t>
      </w:r>
    </w:p>
    <w:p w14:paraId="5FBE5EB6">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（2）卖方逾期交货的，应在发货前与买方和采购管理部门协商，买方仍需求的，卖方应立即发货并应按照逾期交货部分货款的每天万分之四支付逾期交货违约金，同时承担买方因此遭致的损失费用。</w:t>
      </w:r>
    </w:p>
    <w:p w14:paraId="2544637B">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15.不可抗力</w:t>
      </w:r>
    </w:p>
    <w:p w14:paraId="4BA926B9">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（1）因水灾、火灾、地震、战争等不可抗力不能履行合同的，根据不可抗力的影响，部分或者全部免除责任。但合同一方迟延履行后发生不可抗力的，不能免除责任。</w:t>
      </w:r>
    </w:p>
    <w:p w14:paraId="333F5429">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（2）合同一方因不可抗力不能履行合同的，应当及时通知对方，以减轻可能给对方造成的损失，并应当在合理期限内提供证明。</w:t>
      </w:r>
    </w:p>
    <w:p w14:paraId="1F8C7147">
      <w:pPr>
        <w:spacing w:line="440" w:lineRule="exact"/>
        <w:ind w:firstLine="422" w:firstLineChars="200"/>
        <w:jc w:val="left"/>
        <w:outlineLvl w:val="2"/>
        <w:rPr>
          <w:rFonts w:ascii="宋体" w:hAnsi="宋体" w:cs="宋体"/>
          <w:b/>
          <w:color w:val="auto"/>
          <w:szCs w:val="21"/>
          <w:highlight w:val="none"/>
        </w:rPr>
      </w:pPr>
      <w:bookmarkStart w:id="161" w:name="_Toc26498"/>
      <w:r>
        <w:rPr>
          <w:rFonts w:hint="eastAsia" w:ascii="宋体" w:hAnsi="宋体" w:cs="宋体"/>
          <w:b/>
          <w:color w:val="auto"/>
          <w:szCs w:val="21"/>
          <w:highlight w:val="none"/>
        </w:rPr>
        <w:t>七. 索赔</w:t>
      </w:r>
      <w:bookmarkEnd w:id="161"/>
    </w:p>
    <w:p w14:paraId="69E27619">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16.索赔</w:t>
      </w:r>
    </w:p>
    <w:p w14:paraId="2FD99DF6">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（1）买方有权根据当地产品质量检验机构或其他权威部门出具的检验证书向卖方提出索赔。</w:t>
      </w:r>
    </w:p>
    <w:p w14:paraId="4A8DAA07">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（2）在本合同规定的检验期和质量保证期内，如果卖方对买方提出的索赔或差异有责任，则卖方应按买方同意的下列一种或多种方式解决索赔事宜：</w:t>
      </w:r>
    </w:p>
    <w:p w14:paraId="37C0A935">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&lt;1〉卖方同意退货，并按合同规定的货币将货款退还给买方，并承担由此发生的一切损失和费用，包括利息、银行手续费、运费、保险费、检验费、仓储费、装卸费以及为保护退回标的物所需的其他必要费用；</w:t>
      </w:r>
    </w:p>
    <w:p w14:paraId="752827D9">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&lt;2〉根据标的物的低劣程度、损坏程度以及甲方遭受损失的数额，经双方协商确定降低标的物的价格；</w:t>
      </w:r>
    </w:p>
    <w:p w14:paraId="208DA89E">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3〉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758A87BE">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5E8675C3">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（4）买方提出索赔的书面材料应报当地采购管理部门备案。卖方同意的索赔方案应报当地采购管理部门审核。</w:t>
      </w:r>
    </w:p>
    <w:p w14:paraId="6760AFDA">
      <w:pPr>
        <w:spacing w:line="440" w:lineRule="exact"/>
        <w:ind w:firstLine="422" w:firstLineChars="200"/>
        <w:jc w:val="left"/>
        <w:outlineLvl w:val="2"/>
        <w:rPr>
          <w:rFonts w:ascii="宋体" w:hAnsi="宋体" w:cs="宋体"/>
          <w:b/>
          <w:color w:val="auto"/>
          <w:szCs w:val="21"/>
          <w:highlight w:val="none"/>
        </w:rPr>
      </w:pPr>
      <w:bookmarkStart w:id="162" w:name="_Toc5362"/>
      <w:r>
        <w:rPr>
          <w:rFonts w:hint="eastAsia" w:ascii="宋体" w:hAnsi="宋体" w:cs="宋体"/>
          <w:b/>
          <w:color w:val="auto"/>
          <w:szCs w:val="21"/>
          <w:highlight w:val="none"/>
        </w:rPr>
        <w:t>八. 履约保证金</w:t>
      </w:r>
      <w:bookmarkEnd w:id="162"/>
    </w:p>
    <w:p w14:paraId="03471B43">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17.履约保证金</w:t>
      </w:r>
    </w:p>
    <w:p w14:paraId="59ED7D61">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（1）卖方应在本合同签订时，按采购文件的约定提供相应的履约保证金，保证金的有效期应不低于合同有效期。</w:t>
      </w:r>
    </w:p>
    <w:p w14:paraId="06EFDA3F">
      <w:pPr>
        <w:pStyle w:val="6"/>
        <w:overflowPunct w:val="0"/>
        <w:spacing w:line="440" w:lineRule="exact"/>
        <w:ind w:firstLine="420" w:firstLineChars="200"/>
        <w:jc w:val="left"/>
        <w:rPr>
          <w:rFonts w:hint="eastAsia" w:ascii="宋体" w:hAnsi="宋体" w:cs="宋体"/>
          <w:color w:val="auto"/>
          <w:sz w:val="21"/>
          <w:szCs w:val="21"/>
          <w:highlight w:val="none"/>
          <w:u w:color="000000"/>
        </w:rPr>
      </w:pPr>
      <w:r>
        <w:rPr>
          <w:rFonts w:hint="eastAsia" w:ascii="宋体" w:hAnsi="宋体" w:cs="宋体"/>
          <w:color w:val="auto"/>
          <w:sz w:val="21"/>
          <w:szCs w:val="21"/>
          <w:highlight w:val="none"/>
          <w:u w:color="000000"/>
        </w:rPr>
        <w:t>（2）如果卖方未能履行合同规定的任何义务，买方有权从履约保证金中取得补偿。</w:t>
      </w:r>
    </w:p>
    <w:p w14:paraId="39C408F8">
      <w:pPr>
        <w:pStyle w:val="6"/>
        <w:overflowPunct w:val="0"/>
        <w:spacing w:line="440" w:lineRule="exact"/>
        <w:ind w:firstLine="420" w:firstLineChars="200"/>
        <w:jc w:val="left"/>
        <w:rPr>
          <w:rFonts w:hint="eastAsia" w:ascii="宋体" w:hAnsi="宋体" w:eastAsia="宋体" w:cs="宋体"/>
          <w:color w:val="auto"/>
          <w:sz w:val="21"/>
          <w:szCs w:val="21"/>
          <w:highlight w:val="none"/>
          <w:u w:color="000000"/>
          <w:lang w:eastAsia="zh-CN"/>
        </w:rPr>
      </w:pPr>
      <w:r>
        <w:rPr>
          <w:rFonts w:hint="eastAsia" w:ascii="宋体" w:hAnsi="宋体" w:cs="宋体"/>
          <w:color w:val="auto"/>
          <w:sz w:val="21"/>
          <w:szCs w:val="21"/>
          <w:highlight w:val="none"/>
          <w:u w:color="000000"/>
          <w:lang w:eastAsia="zh-CN"/>
        </w:rPr>
        <w:t>（</w:t>
      </w:r>
      <w:r>
        <w:rPr>
          <w:rFonts w:hint="eastAsia" w:ascii="宋体" w:hAnsi="宋体" w:cs="宋体"/>
          <w:color w:val="auto"/>
          <w:sz w:val="21"/>
          <w:szCs w:val="21"/>
          <w:highlight w:val="none"/>
          <w:u w:color="000000"/>
          <w:lang w:val="en-US" w:eastAsia="zh-CN"/>
        </w:rPr>
        <w:t>3</w:t>
      </w:r>
      <w:r>
        <w:rPr>
          <w:rFonts w:hint="eastAsia" w:ascii="宋体" w:hAnsi="宋体" w:cs="宋体"/>
          <w:color w:val="auto"/>
          <w:sz w:val="21"/>
          <w:szCs w:val="21"/>
          <w:highlight w:val="none"/>
          <w:u w:color="000000"/>
          <w:lang w:eastAsia="zh-CN"/>
        </w:rPr>
        <w:t>）</w:t>
      </w:r>
      <w:r>
        <w:rPr>
          <w:rFonts w:hint="eastAsia" w:ascii="宋体" w:hAnsi="宋体" w:cs="宋体"/>
          <w:color w:val="auto"/>
          <w:sz w:val="21"/>
          <w:szCs w:val="21"/>
          <w:highlight w:val="none"/>
          <w:u w:color="000000"/>
          <w:lang w:val="en-US" w:eastAsia="zh-CN"/>
        </w:rPr>
        <w:t>供货（服务）完成，经采购人验收合格后，一次性退还履约保证金。</w:t>
      </w:r>
    </w:p>
    <w:p w14:paraId="3A944B80">
      <w:pPr>
        <w:pStyle w:val="6"/>
        <w:overflowPunct w:val="0"/>
        <w:spacing w:line="440" w:lineRule="exact"/>
        <w:ind w:firstLine="422" w:firstLineChars="200"/>
        <w:jc w:val="left"/>
        <w:outlineLvl w:val="2"/>
        <w:rPr>
          <w:rFonts w:ascii="宋体" w:hAnsi="宋体" w:cs="宋体"/>
          <w:b/>
          <w:color w:val="auto"/>
          <w:sz w:val="21"/>
          <w:szCs w:val="21"/>
          <w:highlight w:val="none"/>
        </w:rPr>
      </w:pPr>
      <w:bookmarkStart w:id="163" w:name="_Toc7821"/>
      <w:r>
        <w:rPr>
          <w:rFonts w:hint="eastAsia" w:ascii="宋体" w:hAnsi="宋体" w:cs="宋体"/>
          <w:b/>
          <w:color w:val="auto"/>
          <w:sz w:val="21"/>
          <w:szCs w:val="21"/>
          <w:highlight w:val="none"/>
        </w:rPr>
        <w:t>九.  合同的解除和转让</w:t>
      </w:r>
      <w:bookmarkEnd w:id="163"/>
    </w:p>
    <w:p w14:paraId="66213235">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18.合同的解除</w:t>
      </w:r>
    </w:p>
    <w:p w14:paraId="22900AC0">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（1）买方和卖方协商一致，可以解除合同。</w:t>
      </w:r>
    </w:p>
    <w:p w14:paraId="0AF92605">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（2）有下列情形之一，合同一方可以解除合同：</w:t>
      </w:r>
    </w:p>
    <w:p w14:paraId="13343F1F">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&lt;1〉因不可抗力致使不能实现合同目的，未受不可抗力影响的一方有权解除合同；</w:t>
      </w:r>
    </w:p>
    <w:p w14:paraId="56664FAB">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&lt;2〉因合同一方违约导致合同不能履行，另一方有权解除合同。</w:t>
      </w:r>
    </w:p>
    <w:p w14:paraId="2E0B30EF">
      <w:pPr>
        <w:pStyle w:val="6"/>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（3）有权解除合同的一方，应当在违约事实或不可抗力发生之后三十天内书面通知对方以主张解除合同，合同在书面通知到达对方时解除。</w:t>
      </w:r>
    </w:p>
    <w:p w14:paraId="7E61042E">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19.合同的转让</w:t>
      </w:r>
    </w:p>
    <w:p w14:paraId="6AEA643A">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合同的部分和全部都不得转让。</w:t>
      </w:r>
    </w:p>
    <w:p w14:paraId="3D13E74D">
      <w:pPr>
        <w:spacing w:line="440" w:lineRule="exact"/>
        <w:ind w:firstLine="422" w:firstLineChars="200"/>
        <w:jc w:val="left"/>
        <w:outlineLvl w:val="2"/>
        <w:rPr>
          <w:rFonts w:ascii="宋体" w:hAnsi="宋体" w:cs="宋体"/>
          <w:b/>
          <w:color w:val="auto"/>
          <w:szCs w:val="21"/>
          <w:highlight w:val="none"/>
        </w:rPr>
      </w:pPr>
      <w:bookmarkStart w:id="164" w:name="_Toc15690"/>
      <w:r>
        <w:rPr>
          <w:rFonts w:hint="eastAsia" w:ascii="宋体" w:hAnsi="宋体" w:cs="宋体"/>
          <w:b/>
          <w:color w:val="auto"/>
          <w:szCs w:val="21"/>
          <w:highlight w:val="none"/>
        </w:rPr>
        <w:t>十. 合同的生效</w:t>
      </w:r>
      <w:bookmarkEnd w:id="164"/>
    </w:p>
    <w:p w14:paraId="3F9D53E8">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20.合同的生效</w:t>
      </w:r>
    </w:p>
    <w:p w14:paraId="11A8CA71">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本合同在双方签字盖章后生效。</w:t>
      </w:r>
    </w:p>
    <w:p w14:paraId="136B1EC1">
      <w:pPr>
        <w:spacing w:line="440" w:lineRule="exact"/>
        <w:ind w:firstLine="422" w:firstLineChars="200"/>
        <w:jc w:val="left"/>
        <w:outlineLvl w:val="2"/>
        <w:rPr>
          <w:rFonts w:ascii="宋体" w:hAnsi="宋体" w:cs="宋体"/>
          <w:b/>
          <w:color w:val="auto"/>
          <w:szCs w:val="21"/>
          <w:highlight w:val="none"/>
        </w:rPr>
      </w:pPr>
      <w:bookmarkStart w:id="165" w:name="_Toc4181"/>
      <w:r>
        <w:rPr>
          <w:rFonts w:hint="eastAsia" w:ascii="宋体" w:hAnsi="宋体" w:cs="宋体"/>
          <w:b/>
          <w:color w:val="auto"/>
          <w:szCs w:val="21"/>
          <w:highlight w:val="none"/>
        </w:rPr>
        <w:t>十一. 争议解决</w:t>
      </w:r>
      <w:bookmarkEnd w:id="165"/>
    </w:p>
    <w:p w14:paraId="0F879374">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21.争议解决</w:t>
      </w:r>
    </w:p>
    <w:p w14:paraId="5F308B9A">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买卖双方因合同发生争议，进行调解，协商不成，可选择：</w:t>
      </w:r>
    </w:p>
    <w:p w14:paraId="64687134">
      <w:pPr>
        <w:pStyle w:val="6"/>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（1）双方同时</w:t>
      </w:r>
      <w:r>
        <w:rPr>
          <w:rFonts w:hint="eastAsia" w:ascii="宋体" w:hAnsi="宋体" w:cs="宋体"/>
          <w:color w:val="auto"/>
          <w:sz w:val="21"/>
          <w:szCs w:val="21"/>
          <w:highlight w:val="none"/>
        </w:rPr>
        <w:t>将争议提交滁州仲裁委员会</w:t>
      </w:r>
      <w:r>
        <w:rPr>
          <w:rFonts w:hint="eastAsia" w:ascii="宋体" w:hAnsi="宋体" w:cs="宋体"/>
          <w:color w:val="auto"/>
          <w:sz w:val="21"/>
          <w:szCs w:val="21"/>
          <w:highlight w:val="none"/>
          <w:u w:color="000000"/>
        </w:rPr>
        <w:t>进行仲裁；</w:t>
      </w:r>
    </w:p>
    <w:p w14:paraId="15CBC510">
      <w:pPr>
        <w:pStyle w:val="6"/>
        <w:tabs>
          <w:tab w:val="left" w:pos="900"/>
        </w:tabs>
        <w:overflowPunct w:val="0"/>
        <w:spacing w:line="440" w:lineRule="exact"/>
        <w:ind w:firstLine="420" w:firstLineChars="200"/>
        <w:jc w:val="left"/>
        <w:rPr>
          <w:rFonts w:ascii="宋体" w:hAnsi="宋体" w:cs="宋体"/>
          <w:color w:val="auto"/>
          <w:sz w:val="21"/>
          <w:szCs w:val="21"/>
          <w:highlight w:val="none"/>
          <w:u w:color="000000"/>
        </w:rPr>
      </w:pPr>
      <w:r>
        <w:rPr>
          <w:rFonts w:hint="eastAsia" w:ascii="宋体" w:hAnsi="宋体" w:cs="宋体"/>
          <w:color w:val="auto"/>
          <w:sz w:val="21"/>
          <w:szCs w:val="21"/>
          <w:highlight w:val="none"/>
          <w:u w:color="000000"/>
        </w:rPr>
        <w:t>（2）向买方所在地人民法院提起诉讼。</w:t>
      </w:r>
    </w:p>
    <w:p w14:paraId="4553C33D">
      <w:pPr>
        <w:spacing w:line="440" w:lineRule="exact"/>
        <w:ind w:firstLine="422" w:firstLineChars="200"/>
        <w:jc w:val="left"/>
        <w:outlineLvl w:val="2"/>
        <w:rPr>
          <w:rFonts w:ascii="宋体" w:hAnsi="宋体" w:cs="宋体"/>
          <w:b/>
          <w:color w:val="auto"/>
          <w:szCs w:val="21"/>
          <w:highlight w:val="none"/>
        </w:rPr>
      </w:pPr>
      <w:bookmarkStart w:id="166" w:name="_Toc9120"/>
      <w:r>
        <w:rPr>
          <w:rFonts w:hint="eastAsia" w:ascii="宋体" w:hAnsi="宋体" w:cs="宋体"/>
          <w:b/>
          <w:color w:val="auto"/>
          <w:szCs w:val="21"/>
          <w:highlight w:val="none"/>
        </w:rPr>
        <w:t>十二 .附则</w:t>
      </w:r>
      <w:bookmarkEnd w:id="166"/>
    </w:p>
    <w:p w14:paraId="3975DF7D">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22.合同份数。</w:t>
      </w:r>
    </w:p>
    <w:p w14:paraId="7A0BA09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本合同一式陆份，买卖双方各执二份，招标代理机构一份 。</w:t>
      </w:r>
    </w:p>
    <w:p w14:paraId="2B1BB291">
      <w:pPr>
        <w:spacing w:line="440" w:lineRule="exact"/>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23.未尽事宜</w:t>
      </w:r>
    </w:p>
    <w:p w14:paraId="609E4110">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本合同未尽事宜应按《中华人民共和国民法典》《中华人民共和国产品质量法》之规定解释。</w:t>
      </w:r>
    </w:p>
    <w:p w14:paraId="3232DB3B">
      <w:pPr>
        <w:pStyle w:val="2"/>
        <w:spacing w:before="162" w:beforeLines="50" w:after="162" w:afterLines="50" w:line="440" w:lineRule="exact"/>
        <w:rPr>
          <w:rFonts w:ascii="宋体" w:hAnsi="宋体" w:cs="宋体"/>
          <w:color w:val="auto"/>
          <w:sz w:val="32"/>
          <w:szCs w:val="32"/>
          <w:highlight w:val="none"/>
        </w:rPr>
      </w:pPr>
    </w:p>
    <w:p w14:paraId="641126CC">
      <w:pPr>
        <w:rPr>
          <w:rFonts w:ascii="宋体" w:hAnsi="宋体" w:cs="宋体"/>
          <w:b/>
          <w:color w:val="auto"/>
          <w:sz w:val="32"/>
          <w:szCs w:val="32"/>
          <w:highlight w:val="none"/>
        </w:rPr>
      </w:pPr>
    </w:p>
    <w:p w14:paraId="010A3B14">
      <w:pPr>
        <w:pStyle w:val="25"/>
        <w:ind w:firstLine="643"/>
        <w:rPr>
          <w:rFonts w:cs="宋体"/>
          <w:b/>
          <w:color w:val="auto"/>
          <w:sz w:val="32"/>
          <w:szCs w:val="32"/>
          <w:highlight w:val="none"/>
        </w:rPr>
      </w:pPr>
    </w:p>
    <w:p w14:paraId="00890F03">
      <w:pPr>
        <w:pStyle w:val="25"/>
        <w:ind w:firstLine="0" w:firstLineChars="0"/>
        <w:rPr>
          <w:color w:val="auto"/>
          <w:highlight w:val="none"/>
        </w:rPr>
      </w:pPr>
    </w:p>
    <w:p w14:paraId="05EAC57F">
      <w:pPr>
        <w:pageBreakBefore/>
        <w:snapToGrid w:val="0"/>
        <w:spacing w:line="440" w:lineRule="exact"/>
        <w:jc w:val="center"/>
        <w:outlineLvl w:val="1"/>
        <w:rPr>
          <w:rFonts w:ascii="宋体" w:hAnsi="宋体" w:cs="宋体"/>
          <w:bCs/>
          <w:color w:val="auto"/>
          <w:sz w:val="24"/>
          <w:highlight w:val="none"/>
        </w:rPr>
      </w:pPr>
      <w:bookmarkStart w:id="167" w:name="_Toc13799"/>
      <w:r>
        <w:rPr>
          <w:rFonts w:hint="eastAsia" w:ascii="宋体" w:hAnsi="宋体" w:cs="宋体"/>
          <w:b/>
          <w:color w:val="auto"/>
          <w:sz w:val="32"/>
          <w:szCs w:val="32"/>
          <w:highlight w:val="none"/>
        </w:rPr>
        <w:t>第五章  投标文件标格式</w:t>
      </w:r>
      <w:bookmarkEnd w:id="167"/>
    </w:p>
    <w:p w14:paraId="1AA75C80">
      <w:pPr>
        <w:rPr>
          <w:rFonts w:eastAsia="黑体"/>
          <w:color w:val="auto"/>
          <w:sz w:val="20"/>
          <w:highlight w:val="none"/>
        </w:rPr>
      </w:pPr>
    </w:p>
    <w:p w14:paraId="2194594B">
      <w:pPr>
        <w:jc w:val="center"/>
        <w:rPr>
          <w:rFonts w:ascii="宋体"/>
          <w:b/>
          <w:color w:val="auto"/>
          <w:sz w:val="44"/>
          <w:szCs w:val="44"/>
          <w:highlight w:val="none"/>
        </w:rPr>
      </w:pPr>
      <w:bookmarkStart w:id="168" w:name="_Toc350698753"/>
      <w:bookmarkStart w:id="169" w:name="_Toc469495744"/>
      <w:r>
        <w:rPr>
          <w:rFonts w:hint="eastAsia" w:ascii="宋体"/>
          <w:b/>
          <w:color w:val="auto"/>
          <w:sz w:val="44"/>
          <w:szCs w:val="44"/>
          <w:highlight w:val="none"/>
        </w:rPr>
        <w:t xml:space="preserve">                               </w:t>
      </w:r>
      <w:r>
        <w:rPr>
          <w:rFonts w:hint="eastAsia" w:ascii="宋体"/>
          <w:b/>
          <w:color w:val="auto"/>
          <w:sz w:val="96"/>
          <w:szCs w:val="96"/>
          <w:highlight w:val="none"/>
        </w:rPr>
        <w:t xml:space="preserve"> </w:t>
      </w:r>
      <w:r>
        <w:rPr>
          <w:rFonts w:hint="eastAsia"/>
          <w:color w:val="auto"/>
          <w:sz w:val="36"/>
          <w:szCs w:val="44"/>
          <w:highlight w:val="none"/>
        </w:rPr>
        <w:t>正本/副本</w:t>
      </w:r>
    </w:p>
    <w:p w14:paraId="53324DF7">
      <w:pPr>
        <w:pStyle w:val="25"/>
        <w:ind w:firstLine="560"/>
        <w:rPr>
          <w:color w:val="auto"/>
          <w:highlight w:val="none"/>
        </w:rPr>
      </w:pPr>
    </w:p>
    <w:p w14:paraId="4BE5CDA7">
      <w:pPr>
        <w:jc w:val="center"/>
        <w:outlineLvl w:val="2"/>
        <w:rPr>
          <w:rFonts w:ascii="宋体"/>
          <w:b/>
          <w:color w:val="auto"/>
          <w:sz w:val="44"/>
          <w:szCs w:val="44"/>
          <w:highlight w:val="none"/>
        </w:rPr>
      </w:pPr>
      <w:bookmarkStart w:id="170" w:name="_Toc1612"/>
      <w:r>
        <w:rPr>
          <w:rFonts w:hint="eastAsia" w:ascii="宋体"/>
          <w:b/>
          <w:color w:val="auto"/>
          <w:sz w:val="44"/>
          <w:szCs w:val="44"/>
          <w:highlight w:val="none"/>
        </w:rPr>
        <w:t>资信证明文件</w:t>
      </w:r>
      <w:bookmarkEnd w:id="168"/>
      <w:bookmarkEnd w:id="169"/>
      <w:bookmarkEnd w:id="170"/>
    </w:p>
    <w:p w14:paraId="4A0F601A">
      <w:pPr>
        <w:jc w:val="center"/>
        <w:rPr>
          <w:rFonts w:ascii="宋体"/>
          <w:color w:val="auto"/>
          <w:sz w:val="32"/>
          <w:szCs w:val="32"/>
          <w:highlight w:val="none"/>
        </w:rPr>
      </w:pPr>
      <w:r>
        <w:rPr>
          <w:rFonts w:hint="eastAsia" w:ascii="宋体"/>
          <w:color w:val="auto"/>
          <w:sz w:val="32"/>
          <w:szCs w:val="32"/>
          <w:highlight w:val="none"/>
        </w:rPr>
        <w:t>（投标文件一）</w:t>
      </w:r>
    </w:p>
    <w:p w14:paraId="4AE69684">
      <w:pPr>
        <w:jc w:val="center"/>
        <w:rPr>
          <w:rFonts w:eastAsia="黑体"/>
          <w:color w:val="auto"/>
          <w:sz w:val="44"/>
          <w:szCs w:val="44"/>
          <w:highlight w:val="none"/>
        </w:rPr>
      </w:pPr>
    </w:p>
    <w:p w14:paraId="0B293453">
      <w:pPr>
        <w:jc w:val="center"/>
        <w:rPr>
          <w:rFonts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项目名称</w:t>
      </w:r>
    </w:p>
    <w:p w14:paraId="46C91CFC">
      <w:pPr>
        <w:jc w:val="center"/>
        <w:rPr>
          <w:rFonts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2C69B84E">
      <w:pPr>
        <w:rPr>
          <w:rFonts w:ascii="宋体"/>
          <w:color w:val="auto"/>
          <w:sz w:val="28"/>
          <w:szCs w:val="28"/>
          <w:highlight w:val="none"/>
        </w:rPr>
      </w:pPr>
    </w:p>
    <w:p w14:paraId="6ED04A1F">
      <w:pPr>
        <w:rPr>
          <w:rFonts w:ascii="宋体"/>
          <w:color w:val="auto"/>
          <w:sz w:val="28"/>
          <w:szCs w:val="28"/>
          <w:highlight w:val="none"/>
        </w:rPr>
      </w:pPr>
    </w:p>
    <w:p w14:paraId="47B87388">
      <w:pPr>
        <w:rPr>
          <w:rFonts w:ascii="宋体"/>
          <w:color w:val="auto"/>
          <w:sz w:val="28"/>
          <w:szCs w:val="28"/>
          <w:highlight w:val="none"/>
        </w:rPr>
      </w:pPr>
    </w:p>
    <w:p w14:paraId="0A351462">
      <w:pPr>
        <w:rPr>
          <w:rFonts w:ascii="宋体"/>
          <w:color w:val="auto"/>
          <w:sz w:val="28"/>
          <w:szCs w:val="28"/>
          <w:highlight w:val="none"/>
        </w:rPr>
      </w:pPr>
    </w:p>
    <w:p w14:paraId="315B9D43">
      <w:pPr>
        <w:pStyle w:val="25"/>
        <w:ind w:firstLine="0" w:firstLineChars="0"/>
        <w:rPr>
          <w:color w:val="auto"/>
          <w:highlight w:val="none"/>
        </w:rPr>
      </w:pPr>
    </w:p>
    <w:p w14:paraId="22ACECE2">
      <w:pPr>
        <w:rPr>
          <w:rFonts w:ascii="宋体"/>
          <w:color w:val="auto"/>
          <w:sz w:val="28"/>
          <w:szCs w:val="28"/>
          <w:highlight w:val="none"/>
        </w:rPr>
      </w:pPr>
    </w:p>
    <w:p w14:paraId="5F084FE6">
      <w:pPr>
        <w:rPr>
          <w:rFonts w:ascii="宋体"/>
          <w:color w:val="auto"/>
          <w:sz w:val="28"/>
          <w:szCs w:val="28"/>
          <w:highlight w:val="none"/>
        </w:rPr>
      </w:pPr>
    </w:p>
    <w:p w14:paraId="5CEE146D">
      <w:pPr>
        <w:pStyle w:val="19"/>
        <w:rPr>
          <w:color w:val="auto"/>
          <w:highlight w:val="none"/>
        </w:rPr>
      </w:pPr>
    </w:p>
    <w:p w14:paraId="34928CB0">
      <w:pPr>
        <w:rPr>
          <w:rFonts w:ascii="宋体"/>
          <w:color w:val="auto"/>
          <w:sz w:val="28"/>
          <w:szCs w:val="28"/>
          <w:highlight w:val="none"/>
        </w:rPr>
      </w:pPr>
    </w:p>
    <w:p w14:paraId="752C15C6">
      <w:pPr>
        <w:jc w:val="center"/>
        <w:rPr>
          <w:rFonts w:ascii="宋体"/>
          <w:color w:val="auto"/>
          <w:sz w:val="28"/>
          <w:szCs w:val="28"/>
          <w:highlight w:val="none"/>
          <w:u w:val="single"/>
        </w:rPr>
      </w:pPr>
      <w:r>
        <w:rPr>
          <w:rFonts w:hint="eastAsia" w:ascii="宋体"/>
          <w:color w:val="auto"/>
          <w:sz w:val="28"/>
          <w:szCs w:val="28"/>
          <w:highlight w:val="none"/>
        </w:rPr>
        <w:t>投标供应商：</w:t>
      </w:r>
      <w:r>
        <w:rPr>
          <w:rFonts w:hint="eastAsia" w:ascii="宋体"/>
          <w:color w:val="auto"/>
          <w:sz w:val="28"/>
          <w:szCs w:val="28"/>
          <w:highlight w:val="none"/>
          <w:u w:val="single"/>
        </w:rPr>
        <w:t xml:space="preserve">                            </w:t>
      </w:r>
      <w:r>
        <w:rPr>
          <w:rFonts w:hint="eastAsia" w:ascii="宋体"/>
          <w:color w:val="auto"/>
          <w:sz w:val="28"/>
          <w:szCs w:val="28"/>
          <w:highlight w:val="none"/>
        </w:rPr>
        <w:t>（盖章）</w:t>
      </w:r>
    </w:p>
    <w:p w14:paraId="374C44F7">
      <w:pPr>
        <w:jc w:val="center"/>
        <w:rPr>
          <w:rFonts w:ascii="宋体"/>
          <w:color w:val="auto"/>
          <w:sz w:val="28"/>
          <w:szCs w:val="28"/>
          <w:highlight w:val="none"/>
          <w:u w:val="singl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（签字或盖章）</w:t>
      </w:r>
    </w:p>
    <w:p w14:paraId="03FE9146">
      <w:pPr>
        <w:jc w:val="center"/>
        <w:rPr>
          <w:rFonts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5817E03A">
      <w:pPr>
        <w:pStyle w:val="25"/>
        <w:ind w:firstLine="560"/>
        <w:rPr>
          <w:color w:val="auto"/>
          <w:szCs w:val="28"/>
          <w:highlight w:val="none"/>
        </w:rPr>
      </w:pPr>
    </w:p>
    <w:p w14:paraId="2701FAF2">
      <w:pPr>
        <w:rPr>
          <w:rFonts w:ascii="宋体"/>
          <w:color w:val="auto"/>
          <w:sz w:val="28"/>
          <w:szCs w:val="28"/>
          <w:highlight w:val="none"/>
        </w:rPr>
      </w:pPr>
    </w:p>
    <w:p w14:paraId="1204E2A5">
      <w:pPr>
        <w:spacing w:before="162" w:beforeLines="50" w:after="162" w:afterLines="50"/>
        <w:jc w:val="center"/>
        <w:rPr>
          <w:rFonts w:ascii="宋体"/>
          <w:b/>
          <w:bCs/>
          <w:color w:val="auto"/>
          <w:sz w:val="32"/>
          <w:szCs w:val="32"/>
          <w:highlight w:val="none"/>
        </w:rPr>
      </w:pPr>
      <w:r>
        <w:rPr>
          <w:rFonts w:hint="eastAsia" w:ascii="宋体"/>
          <w:b/>
          <w:bCs/>
          <w:color w:val="auto"/>
          <w:sz w:val="32"/>
          <w:szCs w:val="32"/>
          <w:highlight w:val="none"/>
        </w:rPr>
        <w:t>目  录</w:t>
      </w:r>
    </w:p>
    <w:p w14:paraId="6077876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（1）法定代表人身份证明及其有效身份证（或法定代表人授权委托书及其有效身份证）（格式见附件）；</w:t>
      </w:r>
    </w:p>
    <w:p w14:paraId="6492E58B">
      <w:pPr>
        <w:spacing w:line="440" w:lineRule="exact"/>
        <w:ind w:firstLine="420" w:firstLineChars="200"/>
        <w:outlineLvl w:val="2"/>
        <w:rPr>
          <w:rFonts w:hint="eastAsia" w:ascii="宋体" w:hAnsi="宋体" w:cs="宋体"/>
          <w:color w:val="auto"/>
          <w:szCs w:val="21"/>
          <w:highlight w:val="none"/>
        </w:rPr>
      </w:pPr>
      <w:bookmarkStart w:id="171" w:name="_Toc31838"/>
      <w:r>
        <w:rPr>
          <w:rFonts w:hint="eastAsia" w:ascii="宋体" w:hAnsi="宋体" w:cs="宋体"/>
          <w:color w:val="auto"/>
          <w:szCs w:val="21"/>
          <w:highlight w:val="none"/>
        </w:rPr>
        <w:t>（2）投标供应商有效的营业执照（或三证合一的有效证件）；</w:t>
      </w:r>
      <w:bookmarkEnd w:id="171"/>
    </w:p>
    <w:p w14:paraId="727CDEE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参加采购活动近三年内，在经营活动中没有重大违法记录的声明（格式自拟）；</w:t>
      </w:r>
    </w:p>
    <w:p w14:paraId="3B7F78B1">
      <w:pPr>
        <w:spacing w:line="440" w:lineRule="exact"/>
        <w:ind w:firstLine="420" w:firstLineChars="200"/>
        <w:outlineLvl w:val="2"/>
        <w:rPr>
          <w:rFonts w:ascii="宋体" w:hAnsi="宋体" w:cs="宋体"/>
          <w:color w:val="auto"/>
          <w:szCs w:val="21"/>
          <w:highlight w:val="none"/>
        </w:rPr>
      </w:pPr>
      <w:bookmarkStart w:id="172" w:name="_Toc11671"/>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）诚信投标承诺书（格式见附件）；</w:t>
      </w:r>
      <w:bookmarkEnd w:id="172"/>
    </w:p>
    <w:p w14:paraId="2445EA0E">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）资信标中要求提供的相关资料和资格评分细则中需要提供的相关资料；</w:t>
      </w:r>
    </w:p>
    <w:p w14:paraId="2930E711">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以上材料须按顺序装订，须加盖供应商公章。供应商所提交的</w:t>
      </w:r>
      <w:r>
        <w:rPr>
          <w:rFonts w:hint="eastAsia" w:ascii="宋体" w:hAnsi="宋体" w:cs="宋体"/>
          <w:b/>
          <w:color w:val="auto"/>
          <w:szCs w:val="21"/>
          <w:highlight w:val="none"/>
        </w:rPr>
        <w:t>资信</w:t>
      </w:r>
      <w:r>
        <w:rPr>
          <w:rFonts w:hint="eastAsia" w:ascii="宋体" w:hAnsi="宋体" w:cs="宋体"/>
          <w:b/>
          <w:bCs/>
          <w:color w:val="auto"/>
          <w:szCs w:val="21"/>
          <w:highlight w:val="none"/>
        </w:rPr>
        <w:t>文件的完整与否，直接影响供应商的评审</w:t>
      </w:r>
      <w:r>
        <w:rPr>
          <w:rFonts w:hint="eastAsia" w:ascii="宋体" w:hAnsi="宋体" w:cs="宋体"/>
          <w:b/>
          <w:bCs/>
          <w:color w:val="auto"/>
          <w:kern w:val="0"/>
          <w:szCs w:val="21"/>
          <w:highlight w:val="none"/>
          <w:u w:color="000000"/>
        </w:rPr>
        <w:t>。</w:t>
      </w:r>
    </w:p>
    <w:p w14:paraId="541D31B2">
      <w:pPr>
        <w:spacing w:line="440" w:lineRule="exact"/>
        <w:ind w:firstLine="422" w:firstLineChars="200"/>
        <w:rPr>
          <w:rFonts w:ascii="宋体" w:hAnsi="宋体" w:cs="宋体"/>
          <w:b/>
          <w:bCs/>
          <w:color w:val="auto"/>
          <w:szCs w:val="21"/>
          <w:highlight w:val="none"/>
        </w:rPr>
      </w:pPr>
    </w:p>
    <w:p w14:paraId="7F084E2E">
      <w:pPr>
        <w:pStyle w:val="25"/>
        <w:ind w:firstLine="560"/>
        <w:rPr>
          <w:color w:val="auto"/>
          <w:highlight w:val="none"/>
        </w:rPr>
      </w:pPr>
    </w:p>
    <w:p w14:paraId="7CAC36B7">
      <w:pPr>
        <w:rPr>
          <w:color w:val="auto"/>
          <w:highlight w:val="none"/>
        </w:rPr>
      </w:pPr>
    </w:p>
    <w:p w14:paraId="75BBFBFE">
      <w:pPr>
        <w:pStyle w:val="25"/>
        <w:ind w:firstLine="560"/>
        <w:rPr>
          <w:color w:val="auto"/>
          <w:highlight w:val="none"/>
        </w:rPr>
      </w:pPr>
    </w:p>
    <w:p w14:paraId="47BF46AB">
      <w:pPr>
        <w:rPr>
          <w:color w:val="auto"/>
          <w:highlight w:val="none"/>
        </w:rPr>
      </w:pPr>
    </w:p>
    <w:p w14:paraId="1006F0A8">
      <w:pPr>
        <w:pStyle w:val="25"/>
        <w:ind w:firstLine="560"/>
        <w:rPr>
          <w:color w:val="auto"/>
          <w:highlight w:val="none"/>
        </w:rPr>
      </w:pPr>
    </w:p>
    <w:p w14:paraId="754B0B09">
      <w:pPr>
        <w:rPr>
          <w:color w:val="auto"/>
          <w:highlight w:val="none"/>
        </w:rPr>
      </w:pPr>
    </w:p>
    <w:p w14:paraId="5AF34656">
      <w:pPr>
        <w:pStyle w:val="25"/>
        <w:ind w:firstLine="560"/>
        <w:rPr>
          <w:color w:val="auto"/>
          <w:highlight w:val="none"/>
        </w:rPr>
      </w:pPr>
    </w:p>
    <w:p w14:paraId="41DE4B00">
      <w:pPr>
        <w:rPr>
          <w:color w:val="auto"/>
          <w:highlight w:val="none"/>
        </w:rPr>
      </w:pPr>
    </w:p>
    <w:p w14:paraId="07F01F36">
      <w:pPr>
        <w:pStyle w:val="25"/>
        <w:ind w:firstLine="560"/>
        <w:rPr>
          <w:color w:val="auto"/>
          <w:highlight w:val="none"/>
        </w:rPr>
      </w:pPr>
    </w:p>
    <w:p w14:paraId="21EA16C9">
      <w:pPr>
        <w:rPr>
          <w:color w:val="auto"/>
          <w:highlight w:val="none"/>
        </w:rPr>
      </w:pPr>
    </w:p>
    <w:p w14:paraId="2C78F164">
      <w:pPr>
        <w:pStyle w:val="25"/>
        <w:ind w:firstLine="560"/>
        <w:rPr>
          <w:color w:val="auto"/>
          <w:highlight w:val="none"/>
        </w:rPr>
      </w:pPr>
    </w:p>
    <w:p w14:paraId="36D15109">
      <w:pPr>
        <w:rPr>
          <w:color w:val="auto"/>
          <w:highlight w:val="none"/>
        </w:rPr>
      </w:pPr>
    </w:p>
    <w:p w14:paraId="171E9998">
      <w:pPr>
        <w:pStyle w:val="25"/>
        <w:ind w:firstLine="560"/>
        <w:rPr>
          <w:color w:val="auto"/>
          <w:highlight w:val="none"/>
        </w:rPr>
      </w:pPr>
    </w:p>
    <w:p w14:paraId="0BF70F19">
      <w:pPr>
        <w:rPr>
          <w:color w:val="auto"/>
          <w:highlight w:val="none"/>
        </w:rPr>
      </w:pPr>
    </w:p>
    <w:p w14:paraId="200AF25F">
      <w:pPr>
        <w:pStyle w:val="25"/>
        <w:ind w:firstLine="560"/>
        <w:rPr>
          <w:color w:val="auto"/>
          <w:highlight w:val="none"/>
        </w:rPr>
      </w:pPr>
    </w:p>
    <w:p w14:paraId="5F00FA81">
      <w:pPr>
        <w:rPr>
          <w:color w:val="auto"/>
          <w:highlight w:val="none"/>
        </w:rPr>
      </w:pPr>
    </w:p>
    <w:p w14:paraId="43971874">
      <w:pPr>
        <w:pStyle w:val="25"/>
        <w:ind w:firstLine="560"/>
        <w:rPr>
          <w:color w:val="auto"/>
          <w:highlight w:val="none"/>
        </w:rPr>
      </w:pPr>
    </w:p>
    <w:p w14:paraId="16920212">
      <w:pPr>
        <w:rPr>
          <w:color w:val="auto"/>
          <w:highlight w:val="none"/>
        </w:rPr>
      </w:pPr>
    </w:p>
    <w:p w14:paraId="7A661D8A">
      <w:pPr>
        <w:pStyle w:val="25"/>
        <w:ind w:firstLine="0" w:firstLineChars="0"/>
        <w:rPr>
          <w:color w:val="auto"/>
          <w:highlight w:val="none"/>
        </w:rPr>
      </w:pPr>
    </w:p>
    <w:p w14:paraId="3A882F65">
      <w:pPr>
        <w:pStyle w:val="4"/>
        <w:jc w:val="center"/>
        <w:rPr>
          <w:rFonts w:ascii="宋体" w:hAnsi="宋体" w:cs="宋体"/>
          <w:color w:val="auto"/>
          <w:sz w:val="28"/>
          <w:szCs w:val="28"/>
          <w:highlight w:val="none"/>
        </w:rPr>
      </w:pPr>
      <w:bookmarkStart w:id="173" w:name="_Toc17426"/>
      <w:r>
        <w:rPr>
          <w:rFonts w:hint="eastAsia" w:ascii="宋体" w:hAnsi="宋体" w:cs="宋体"/>
          <w:color w:val="auto"/>
          <w:sz w:val="28"/>
          <w:szCs w:val="28"/>
          <w:highlight w:val="none"/>
        </w:rPr>
        <w:t>（1）法定代表人身份证明</w:t>
      </w:r>
      <w:bookmarkEnd w:id="173"/>
    </w:p>
    <w:p w14:paraId="158EFDB3">
      <w:pPr>
        <w:spacing w:line="440" w:lineRule="exact"/>
        <w:rPr>
          <w:rFonts w:ascii="宋体" w:hAnsi="宋体" w:cs="宋体"/>
          <w:color w:val="auto"/>
          <w:szCs w:val="21"/>
          <w:highlight w:val="none"/>
        </w:rPr>
      </w:pPr>
      <w:r>
        <w:rPr>
          <w:rFonts w:hint="eastAsia" w:ascii="宋体" w:hAnsi="宋体" w:cs="宋体"/>
          <w:color w:val="auto"/>
          <w:szCs w:val="21"/>
          <w:highlight w:val="none"/>
        </w:rPr>
        <w:t>投标供应商名称：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9A784DC">
      <w:pPr>
        <w:spacing w:line="440" w:lineRule="exact"/>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AA0B4AE">
      <w:pPr>
        <w:spacing w:line="440" w:lineRule="exac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2403900">
      <w:pPr>
        <w:spacing w:line="440" w:lineRule="exact"/>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4D77AE9">
      <w:pPr>
        <w:spacing w:line="440" w:lineRule="exact"/>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2993022E">
      <w:pPr>
        <w:spacing w:line="440" w:lineRule="exact"/>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07C767C5">
      <w:pPr>
        <w:spacing w:line="440" w:lineRule="exact"/>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（投标供应商名称）的法定代表人。</w:t>
      </w:r>
    </w:p>
    <w:p w14:paraId="07E4A7D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特此证明。</w:t>
      </w:r>
    </w:p>
    <w:p w14:paraId="6A08A512">
      <w:pPr>
        <w:spacing w:line="440" w:lineRule="exact"/>
        <w:rPr>
          <w:rFonts w:ascii="宋体" w:hAnsi="宋体" w:cs="宋体"/>
          <w:color w:val="auto"/>
          <w:szCs w:val="21"/>
          <w:highlight w:val="none"/>
        </w:rPr>
      </w:pPr>
      <w:r>
        <w:rPr>
          <w:rFonts w:hint="eastAsia" w:ascii="宋体" w:hAnsi="宋体" w:cs="宋体"/>
          <w:color w:val="auto"/>
          <w:szCs w:val="21"/>
          <w:highlight w:val="none"/>
        </w:rPr>
        <w:t>附：法定代表人有效身份证</w:t>
      </w:r>
    </w:p>
    <w:p w14:paraId="68B190EF">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投标供应商：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7F120227">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14:paraId="70E9907F">
      <w:pPr>
        <w:spacing w:line="540" w:lineRule="exact"/>
        <w:rPr>
          <w:rFonts w:ascii="宋体" w:hAnsi="宋体" w:cs="宋体"/>
          <w:color w:val="auto"/>
          <w:highlight w:val="none"/>
        </w:rPr>
      </w:pPr>
    </w:p>
    <w:p w14:paraId="4B593B91">
      <w:pPr>
        <w:pStyle w:val="4"/>
        <w:jc w:val="center"/>
        <w:rPr>
          <w:rFonts w:ascii="宋体" w:hAnsi="宋体" w:cs="宋体"/>
          <w:color w:val="auto"/>
          <w:sz w:val="28"/>
          <w:szCs w:val="28"/>
          <w:highlight w:val="none"/>
        </w:rPr>
      </w:pPr>
      <w:r>
        <w:rPr>
          <w:rFonts w:hint="eastAsia" w:ascii="宋体" w:hAnsi="宋体" w:cs="宋体"/>
          <w:color w:val="auto"/>
          <w:sz w:val="28"/>
          <w:szCs w:val="28"/>
          <w:highlight w:val="none"/>
        </w:rPr>
        <w:t>或（1）授权委托书</w:t>
      </w:r>
    </w:p>
    <w:p w14:paraId="394F0504">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本授权委托书声明：我</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（投标供应商名称）</w:t>
      </w:r>
      <w:r>
        <w:rPr>
          <w:rFonts w:hint="eastAsia" w:ascii="宋体" w:hAnsi="宋体" w:cs="宋体"/>
          <w:color w:val="auto"/>
          <w:szCs w:val="21"/>
          <w:highlight w:val="none"/>
        </w:rPr>
        <w:t>的法定代表人，现授权委托</w:t>
      </w:r>
      <w:r>
        <w:rPr>
          <w:rFonts w:hint="eastAsia" w:ascii="宋体" w:hAnsi="宋体" w:cs="宋体"/>
          <w:color w:val="auto"/>
          <w:szCs w:val="21"/>
          <w:highlight w:val="none"/>
          <w:u w:val="single"/>
        </w:rPr>
        <w:t xml:space="preserve">        （单位名称）   </w:t>
      </w:r>
      <w:r>
        <w:rPr>
          <w:rFonts w:hint="eastAsia" w:ascii="宋体" w:hAnsi="宋体" w:cs="宋体"/>
          <w:color w:val="auto"/>
          <w:szCs w:val="21"/>
          <w:highlight w:val="none"/>
        </w:rPr>
        <w:t>的</w:t>
      </w:r>
      <w:r>
        <w:rPr>
          <w:rFonts w:hint="eastAsia" w:ascii="宋体" w:hAnsi="宋体" w:cs="宋体"/>
          <w:color w:val="auto"/>
          <w:szCs w:val="21"/>
          <w:highlight w:val="none"/>
          <w:u w:val="single"/>
        </w:rPr>
        <w:t xml:space="preserve">     （姓名） </w:t>
      </w:r>
      <w:r>
        <w:rPr>
          <w:rFonts w:hint="eastAsia" w:ascii="宋体" w:hAnsi="宋体" w:cs="宋体"/>
          <w:color w:val="auto"/>
          <w:szCs w:val="21"/>
          <w:highlight w:val="none"/>
        </w:rPr>
        <w:t>为我公司法定代表人授权委托代理人，参加</w:t>
      </w:r>
      <w:r>
        <w:rPr>
          <w:rFonts w:hint="eastAsia" w:ascii="宋体" w:hAnsi="宋体" w:cs="宋体"/>
          <w:color w:val="auto"/>
          <w:szCs w:val="21"/>
          <w:highlight w:val="none"/>
          <w:u w:val="single"/>
        </w:rPr>
        <w:t xml:space="preserve">      采购人     </w:t>
      </w:r>
      <w:r>
        <w:rPr>
          <w:rFonts w:hint="eastAsia" w:ascii="宋体" w:hAnsi="宋体" w:cs="宋体"/>
          <w:color w:val="auto"/>
          <w:szCs w:val="21"/>
          <w:highlight w:val="none"/>
        </w:rPr>
        <w:t>的</w:t>
      </w:r>
      <w:r>
        <w:rPr>
          <w:rFonts w:hint="eastAsia" w:ascii="宋体" w:hAnsi="宋体" w:cs="宋体"/>
          <w:color w:val="auto"/>
          <w:szCs w:val="21"/>
          <w:highlight w:val="none"/>
          <w:u w:val="single"/>
        </w:rPr>
        <w:t xml:space="preserve">                   项目</w:t>
      </w:r>
      <w:r>
        <w:rPr>
          <w:rFonts w:hint="eastAsia" w:ascii="宋体" w:hAnsi="宋体" w:cs="宋体"/>
          <w:color w:val="auto"/>
          <w:szCs w:val="21"/>
          <w:highlight w:val="none"/>
        </w:rPr>
        <w:t>的投标活动。代理人在投标、开标、评标、合同谈判过程中所签署的一切文件和处理与之有关的一切事务，我均予以承认。</w:t>
      </w:r>
    </w:p>
    <w:p w14:paraId="27802E0A">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代理人无转委托权，特此委托。</w:t>
      </w:r>
    </w:p>
    <w:p w14:paraId="7B730953">
      <w:pPr>
        <w:spacing w:line="500" w:lineRule="exact"/>
        <w:ind w:right="24"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附：授权代理人有效身份证及法定代表人有效身份证          </w:t>
      </w:r>
    </w:p>
    <w:p w14:paraId="0739B13D">
      <w:pPr>
        <w:spacing w:line="500" w:lineRule="exact"/>
        <w:ind w:right="24"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w:t>
      </w:r>
    </w:p>
    <w:p w14:paraId="4B511CD8">
      <w:pPr>
        <w:spacing w:line="500" w:lineRule="exact"/>
        <w:ind w:right="24" w:firstLine="4200" w:firstLineChars="2000"/>
        <w:rPr>
          <w:rFonts w:ascii="宋体" w:hAnsi="宋体" w:cs="宋体"/>
          <w:color w:val="auto"/>
          <w:szCs w:val="21"/>
          <w:highlight w:val="none"/>
        </w:rPr>
      </w:pPr>
      <w:r>
        <w:rPr>
          <w:rFonts w:hint="eastAsia" w:ascii="宋体" w:hAnsi="宋体" w:cs="宋体"/>
          <w:color w:val="auto"/>
          <w:szCs w:val="21"/>
          <w:highlight w:val="none"/>
        </w:rPr>
        <w:t xml:space="preserve">  授权代理人：</w:t>
      </w:r>
      <w:r>
        <w:rPr>
          <w:rFonts w:hint="eastAsia" w:ascii="宋体" w:hAnsi="宋体" w:cs="宋体"/>
          <w:color w:val="auto"/>
          <w:szCs w:val="21"/>
          <w:highlight w:val="none"/>
          <w:u w:val="single"/>
        </w:rPr>
        <w:t xml:space="preserve">        （签字或盖章）      </w:t>
      </w:r>
    </w:p>
    <w:p w14:paraId="01CC6057">
      <w:pPr>
        <w:spacing w:line="500" w:lineRule="exact"/>
        <w:ind w:firstLine="2205" w:firstLineChars="1050"/>
        <w:rPr>
          <w:rFonts w:ascii="宋体" w:hAnsi="宋体" w:cs="宋体"/>
          <w:color w:val="auto"/>
          <w:szCs w:val="21"/>
          <w:highlight w:val="none"/>
        </w:rPr>
      </w:pPr>
      <w:r>
        <w:rPr>
          <w:rFonts w:hint="eastAsia" w:ascii="宋体" w:hAnsi="宋体" w:cs="宋体"/>
          <w:color w:val="auto"/>
          <w:szCs w:val="21"/>
          <w:highlight w:val="none"/>
        </w:rPr>
        <w:t xml:space="preserve">                     投  标  人：</w:t>
      </w:r>
      <w:r>
        <w:rPr>
          <w:rFonts w:hint="eastAsia" w:ascii="宋体" w:hAnsi="宋体" w:cs="宋体"/>
          <w:color w:val="auto"/>
          <w:szCs w:val="21"/>
          <w:highlight w:val="none"/>
          <w:u w:val="single"/>
        </w:rPr>
        <w:t xml:space="preserve">           （盖章）         </w:t>
      </w:r>
    </w:p>
    <w:p w14:paraId="1898A33A">
      <w:pPr>
        <w:spacing w:line="500" w:lineRule="exact"/>
        <w:ind w:right="204" w:firstLine="2205" w:firstLineChars="1050"/>
        <w:rPr>
          <w:rFonts w:ascii="宋体" w:hAnsi="宋体" w:cs="宋体"/>
          <w:color w:val="auto"/>
          <w:szCs w:val="21"/>
          <w:highlight w:val="none"/>
        </w:rPr>
      </w:pPr>
      <w:r>
        <w:rPr>
          <w:rFonts w:hint="eastAsia" w:ascii="宋体" w:hAnsi="宋体" w:cs="宋体"/>
          <w:color w:val="auto"/>
          <w:szCs w:val="21"/>
          <w:highlight w:val="none"/>
        </w:rPr>
        <w:t xml:space="preserve">                     法定代表人：</w:t>
      </w:r>
      <w:r>
        <w:rPr>
          <w:rFonts w:hint="eastAsia" w:ascii="宋体" w:hAnsi="宋体" w:cs="宋体"/>
          <w:color w:val="auto"/>
          <w:szCs w:val="21"/>
          <w:highlight w:val="none"/>
          <w:u w:val="single"/>
        </w:rPr>
        <w:t xml:space="preserve">        （签字或盖章）      </w:t>
      </w:r>
    </w:p>
    <w:p w14:paraId="32BAB5B3">
      <w:pPr>
        <w:wordWrap w:val="0"/>
        <w:spacing w:line="500" w:lineRule="exact"/>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 xml:space="preserve">           年    月    日 </w:t>
      </w:r>
    </w:p>
    <w:p w14:paraId="3FD96566">
      <w:pPr>
        <w:rPr>
          <w:rFonts w:ascii="宋体" w:hAnsi="宋体" w:cs="宋体"/>
          <w:b/>
          <w:color w:val="auto"/>
          <w:sz w:val="24"/>
          <w:highlight w:val="none"/>
        </w:rPr>
      </w:pPr>
    </w:p>
    <w:p w14:paraId="1213DDF0">
      <w:pPr>
        <w:pStyle w:val="25"/>
        <w:ind w:firstLine="560"/>
        <w:rPr>
          <w:color w:val="auto"/>
          <w:highlight w:val="none"/>
        </w:rPr>
      </w:pPr>
    </w:p>
    <w:p w14:paraId="1F35F889">
      <w:pPr>
        <w:rPr>
          <w:rFonts w:ascii="宋体" w:hAnsi="宋体" w:cs="宋体"/>
          <w:b/>
          <w:bCs/>
          <w:color w:val="auto"/>
          <w:sz w:val="28"/>
          <w:szCs w:val="28"/>
          <w:highlight w:val="none"/>
        </w:rPr>
      </w:pPr>
    </w:p>
    <w:p w14:paraId="748C6A05">
      <w:pPr>
        <w:jc w:val="center"/>
        <w:outlineLvl w:val="2"/>
        <w:rPr>
          <w:rFonts w:ascii="宋体" w:hAnsi="宋体" w:cs="宋体"/>
          <w:b/>
          <w:bCs/>
          <w:color w:val="auto"/>
          <w:sz w:val="28"/>
          <w:szCs w:val="28"/>
          <w:highlight w:val="none"/>
        </w:rPr>
      </w:pPr>
      <w:bookmarkStart w:id="174" w:name="_Toc5345"/>
      <w:r>
        <w:rPr>
          <w:rFonts w:hint="eastAsia" w:ascii="宋体" w:hAnsi="宋体" w:cs="宋体"/>
          <w:b/>
          <w:bCs/>
          <w:color w:val="auto"/>
          <w:sz w:val="28"/>
          <w:szCs w:val="28"/>
          <w:highlight w:val="none"/>
        </w:rPr>
        <w:t>（2）诚信投标承诺书</w:t>
      </w:r>
      <w:bookmarkEnd w:id="174"/>
    </w:p>
    <w:p w14:paraId="49CC423E">
      <w:pPr>
        <w:spacing w:line="440" w:lineRule="exact"/>
        <w:rPr>
          <w:rFonts w:ascii="宋体" w:hAnsi="宋体" w:cs="宋体"/>
          <w:color w:val="auto"/>
          <w:szCs w:val="21"/>
          <w:highlight w:val="none"/>
        </w:rPr>
      </w:pPr>
      <w:r>
        <w:rPr>
          <w:rFonts w:hint="eastAsia" w:ascii="宋体" w:hAnsi="宋体" w:cs="宋体"/>
          <w:color w:val="auto"/>
          <w:szCs w:val="21"/>
          <w:highlight w:val="none"/>
        </w:rPr>
        <w:t>本人以企业法定代表人的身份郑重承诺：</w:t>
      </w:r>
    </w:p>
    <w:p w14:paraId="3C162B4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一、将遵循公开、公正和诚实信用的原则自愿参加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项目的投标，所提供的一切材料都是真实、有效、合法的；</w:t>
      </w:r>
    </w:p>
    <w:p w14:paraId="3986113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本单位郑重声明，我公司具有良好的商业信誉和健全的财务会计制度，具有履行合同所必需的设备和专业技术能力，具有依法缴纳税收和社会保障资金的良好记录；参加采购活动前三年内，本单位在经营活动中没有重大违法记录，没有因违法经营受到刑事处罚或者责令停产停业、吊销许可证或者执照、较大数额罚款等行政处罚。</w:t>
      </w:r>
    </w:p>
    <w:p w14:paraId="674F321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三、不出借、转让资质证书，不让他人挂靠投标，不以他人名义投标或者以其他方式弄虚作假，骗取中标；</w:t>
      </w:r>
    </w:p>
    <w:p w14:paraId="64415E4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四、不与其他供应商相互串通投标报价，不排挤其他供应商的公平竞争、损害采购人的合法权益；</w:t>
      </w:r>
    </w:p>
    <w:p w14:paraId="3ACB371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五、不与采购人、招标代理机构或其他供应商串通投标，损害国家利益、社会公共利益或者他人的合法权益；</w:t>
      </w:r>
    </w:p>
    <w:p w14:paraId="210D510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六、我公司没有下列情形：1、被人民法院列入失信被执行人的；2、我公司及其法定代表人、拟派项目经理（项目负责人）近三年被人民检察院列入行贿犯罪档案的；3、被市场监督管理部门列入经营异常名录或者严重违法企业名单的；4、被税收部门列入重大税收违法案件当事人的；5、被采购监管部门列入采购严重违法失信行为记录名单的；6、在“信用中国”网站上披露仍在公示期的严重失信行为的；7、被滁州市县两级行业主管部门及监管部门禁止在一定期限内参加采购活动且在禁止期限内的；8、被滁州市县两级公管部门记入不良行为记录或者信用信息记录，且在披露期内的；  </w:t>
      </w:r>
    </w:p>
    <w:p w14:paraId="16E9A9E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七、严格遵守开标现场纪律，服从监管人员管理；</w:t>
      </w:r>
    </w:p>
    <w:p w14:paraId="1D278CD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八、保证中标后不转包，若有分包征得采购人同意；</w:t>
      </w:r>
    </w:p>
    <w:p w14:paraId="1151BA2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九、保证中标之后，按照响应文件要求提供相关后续服务；</w:t>
      </w:r>
    </w:p>
    <w:p w14:paraId="075EC1D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十、保证企业及所属相关人员在本次投标中无行贿等犯罪行为；</w:t>
      </w:r>
    </w:p>
    <w:p w14:paraId="593FD30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008FF05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以上内容我已仔细阅读，本公司若有违反承诺内容的行为，自愿接受取消投标或者中标资格、记入不良行为记录、投标保证金不予退还等有关处理，愿意承担法律责任，给采购人造成损失的，依法承担赔偿责任。</w:t>
      </w:r>
    </w:p>
    <w:p w14:paraId="2D04EF6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w:t>
      </w:r>
    </w:p>
    <w:p w14:paraId="3162526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开户银行：                          基本账户：</w:t>
      </w:r>
    </w:p>
    <w:p w14:paraId="23FF75D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投标供应商（盖章）：                 法定代表人（签字或盖章）：</w:t>
      </w:r>
    </w:p>
    <w:p w14:paraId="1A59BC4D">
      <w:pPr>
        <w:spacing w:line="440" w:lineRule="exact"/>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F998E5A">
      <w:pPr>
        <w:jc w:val="center"/>
        <w:rPr>
          <w:rFonts w:ascii="宋体" w:hAnsi="宋体" w:cs="宋体"/>
          <w:b/>
          <w:color w:val="auto"/>
          <w:sz w:val="24"/>
          <w:highlight w:val="none"/>
        </w:rPr>
      </w:pPr>
    </w:p>
    <w:p w14:paraId="40F719FB">
      <w:pPr>
        <w:spacing w:line="560" w:lineRule="exact"/>
        <w:ind w:right="-313" w:rightChars="-149" w:firstLine="640" w:firstLineChars="200"/>
        <w:rPr>
          <w:color w:val="auto"/>
          <w:sz w:val="32"/>
          <w:szCs w:val="21"/>
          <w:highlight w:val="none"/>
        </w:rPr>
      </w:pPr>
      <w:bookmarkStart w:id="175" w:name="_Toc21013"/>
      <w:r>
        <w:rPr>
          <w:rFonts w:hint="eastAsia"/>
          <w:color w:val="auto"/>
          <w:sz w:val="32"/>
          <w:szCs w:val="21"/>
          <w:highlight w:val="none"/>
        </w:rPr>
        <w:t xml:space="preserve">                    </w:t>
      </w:r>
    </w:p>
    <w:p w14:paraId="62AC770A">
      <w:pPr>
        <w:pStyle w:val="2"/>
        <w:pageBreakBefore/>
        <w:spacing w:line="579" w:lineRule="auto"/>
        <w:jc w:val="right"/>
        <w:rPr>
          <w:rFonts w:ascii="宋体"/>
          <w:b w:val="0"/>
          <w:color w:val="auto"/>
          <w:highlight w:val="none"/>
        </w:rPr>
      </w:pPr>
      <w:bookmarkStart w:id="176" w:name="_Toc28063"/>
      <w:r>
        <w:rPr>
          <w:rFonts w:hint="eastAsia"/>
          <w:color w:val="auto"/>
          <w:sz w:val="32"/>
          <w:szCs w:val="21"/>
          <w:highlight w:val="none"/>
        </w:rPr>
        <w:t>正本/副本</w:t>
      </w:r>
      <w:bookmarkEnd w:id="176"/>
    </w:p>
    <w:p w14:paraId="0D5FB811">
      <w:pPr>
        <w:pStyle w:val="2"/>
        <w:jc w:val="center"/>
        <w:rPr>
          <w:rFonts w:ascii="宋体"/>
          <w:b w:val="0"/>
          <w:color w:val="auto"/>
          <w:highlight w:val="none"/>
        </w:rPr>
      </w:pPr>
      <w:bookmarkStart w:id="177" w:name="_Toc10768"/>
      <w:bookmarkStart w:id="178" w:name="_Toc28957"/>
      <w:r>
        <w:rPr>
          <w:rFonts w:hint="eastAsia" w:ascii="宋体"/>
          <w:b w:val="0"/>
          <w:color w:val="auto"/>
          <w:highlight w:val="none"/>
        </w:rPr>
        <w:t>技术标文件</w:t>
      </w:r>
      <w:bookmarkEnd w:id="175"/>
      <w:bookmarkEnd w:id="177"/>
      <w:bookmarkEnd w:id="178"/>
    </w:p>
    <w:p w14:paraId="2C251A33">
      <w:pPr>
        <w:jc w:val="center"/>
        <w:rPr>
          <w:rFonts w:ascii="宋体"/>
          <w:color w:val="auto"/>
          <w:sz w:val="32"/>
          <w:szCs w:val="32"/>
          <w:highlight w:val="none"/>
        </w:rPr>
      </w:pPr>
      <w:r>
        <w:rPr>
          <w:rFonts w:hint="eastAsia" w:ascii="宋体"/>
          <w:color w:val="auto"/>
          <w:sz w:val="32"/>
          <w:szCs w:val="32"/>
          <w:highlight w:val="none"/>
        </w:rPr>
        <w:t>（投标文件二）</w:t>
      </w:r>
    </w:p>
    <w:p w14:paraId="266AEEF2">
      <w:pPr>
        <w:jc w:val="center"/>
        <w:rPr>
          <w:rFonts w:eastAsia="黑体"/>
          <w:color w:val="auto"/>
          <w:sz w:val="44"/>
          <w:szCs w:val="44"/>
          <w:highlight w:val="none"/>
        </w:rPr>
      </w:pPr>
    </w:p>
    <w:p w14:paraId="6F5D7A46">
      <w:pPr>
        <w:jc w:val="center"/>
        <w:rPr>
          <w:rFonts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 xml:space="preserve">项目名称 </w:t>
      </w:r>
    </w:p>
    <w:p w14:paraId="7028D0C1">
      <w:pPr>
        <w:jc w:val="center"/>
        <w:rPr>
          <w:rFonts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68DD69BB">
      <w:pPr>
        <w:rPr>
          <w:rFonts w:ascii="宋体"/>
          <w:color w:val="auto"/>
          <w:sz w:val="28"/>
          <w:szCs w:val="28"/>
          <w:highlight w:val="none"/>
        </w:rPr>
      </w:pPr>
    </w:p>
    <w:p w14:paraId="112E2140">
      <w:pPr>
        <w:rPr>
          <w:rFonts w:ascii="宋体"/>
          <w:color w:val="auto"/>
          <w:sz w:val="28"/>
          <w:szCs w:val="28"/>
          <w:highlight w:val="none"/>
        </w:rPr>
      </w:pPr>
    </w:p>
    <w:p w14:paraId="31BE4075">
      <w:pPr>
        <w:rPr>
          <w:rFonts w:ascii="宋体"/>
          <w:color w:val="auto"/>
          <w:sz w:val="28"/>
          <w:szCs w:val="28"/>
          <w:highlight w:val="none"/>
        </w:rPr>
      </w:pPr>
    </w:p>
    <w:p w14:paraId="6ABBA8C9">
      <w:pPr>
        <w:rPr>
          <w:rFonts w:ascii="宋体"/>
          <w:color w:val="auto"/>
          <w:sz w:val="28"/>
          <w:szCs w:val="28"/>
          <w:highlight w:val="none"/>
        </w:rPr>
      </w:pPr>
    </w:p>
    <w:p w14:paraId="3C471085">
      <w:pPr>
        <w:pStyle w:val="25"/>
        <w:ind w:left="420" w:firstLine="560"/>
        <w:rPr>
          <w:color w:val="auto"/>
          <w:szCs w:val="28"/>
          <w:highlight w:val="none"/>
        </w:rPr>
      </w:pPr>
    </w:p>
    <w:p w14:paraId="0D518E91">
      <w:pPr>
        <w:rPr>
          <w:rFonts w:ascii="宋体"/>
          <w:color w:val="auto"/>
          <w:sz w:val="28"/>
          <w:szCs w:val="28"/>
          <w:highlight w:val="none"/>
        </w:rPr>
      </w:pPr>
    </w:p>
    <w:p w14:paraId="0CD718C3">
      <w:pPr>
        <w:pStyle w:val="25"/>
        <w:ind w:left="420" w:firstLine="560"/>
        <w:rPr>
          <w:color w:val="auto"/>
          <w:szCs w:val="28"/>
          <w:highlight w:val="none"/>
        </w:rPr>
      </w:pPr>
    </w:p>
    <w:p w14:paraId="32DD9A47">
      <w:pPr>
        <w:rPr>
          <w:rFonts w:ascii="宋体"/>
          <w:color w:val="auto"/>
          <w:sz w:val="28"/>
          <w:szCs w:val="28"/>
          <w:highlight w:val="none"/>
        </w:rPr>
      </w:pPr>
    </w:p>
    <w:p w14:paraId="7A745A6D">
      <w:pPr>
        <w:rPr>
          <w:rFonts w:ascii="宋体"/>
          <w:color w:val="auto"/>
          <w:sz w:val="28"/>
          <w:szCs w:val="28"/>
          <w:highlight w:val="none"/>
        </w:rPr>
      </w:pPr>
    </w:p>
    <w:p w14:paraId="5CBDF01F">
      <w:pPr>
        <w:jc w:val="center"/>
        <w:rPr>
          <w:rFonts w:ascii="宋体"/>
          <w:color w:val="auto"/>
          <w:sz w:val="28"/>
          <w:szCs w:val="28"/>
          <w:highlight w:val="none"/>
          <w:u w:val="single"/>
        </w:rPr>
      </w:pPr>
      <w:r>
        <w:rPr>
          <w:rFonts w:hint="eastAsia" w:ascii="宋体"/>
          <w:color w:val="auto"/>
          <w:sz w:val="28"/>
          <w:szCs w:val="28"/>
          <w:highlight w:val="none"/>
        </w:rPr>
        <w:t>投标供应商：</w:t>
      </w:r>
      <w:r>
        <w:rPr>
          <w:rFonts w:hint="eastAsia" w:ascii="宋体"/>
          <w:color w:val="auto"/>
          <w:sz w:val="28"/>
          <w:szCs w:val="28"/>
          <w:highlight w:val="none"/>
          <w:u w:val="single"/>
        </w:rPr>
        <w:t xml:space="preserve">                              </w:t>
      </w:r>
      <w:r>
        <w:rPr>
          <w:rFonts w:hint="eastAsia" w:ascii="宋体"/>
          <w:color w:val="auto"/>
          <w:sz w:val="28"/>
          <w:szCs w:val="28"/>
          <w:highlight w:val="none"/>
        </w:rPr>
        <w:t>（盖章）</w:t>
      </w:r>
    </w:p>
    <w:p w14:paraId="7DB1BE15">
      <w:pPr>
        <w:jc w:val="center"/>
        <w:rPr>
          <w:rFonts w:ascii="宋体"/>
          <w:color w:val="auto"/>
          <w:sz w:val="28"/>
          <w:szCs w:val="28"/>
          <w:highlight w:val="non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（签字或盖章）</w:t>
      </w:r>
    </w:p>
    <w:p w14:paraId="26D63041">
      <w:pPr>
        <w:jc w:val="center"/>
        <w:rPr>
          <w:rFonts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0205F493">
      <w:pPr>
        <w:spacing w:line="720" w:lineRule="auto"/>
        <w:jc w:val="center"/>
        <w:rPr>
          <w:rFonts w:ascii="宋体" w:hAnsi="宋体"/>
          <w:b/>
          <w:color w:val="auto"/>
          <w:sz w:val="36"/>
          <w:szCs w:val="36"/>
          <w:highlight w:val="none"/>
        </w:rPr>
      </w:pPr>
    </w:p>
    <w:p w14:paraId="39845F67">
      <w:pPr>
        <w:pStyle w:val="60"/>
        <w:rPr>
          <w:rFonts w:ascii="宋体" w:hAnsi="宋体"/>
          <w:b/>
          <w:color w:val="auto"/>
          <w:sz w:val="36"/>
          <w:szCs w:val="36"/>
          <w:highlight w:val="none"/>
        </w:rPr>
      </w:pPr>
    </w:p>
    <w:p w14:paraId="264CCE82">
      <w:pPr>
        <w:spacing w:line="500" w:lineRule="exact"/>
        <w:jc w:val="center"/>
        <w:rPr>
          <w:b/>
          <w:color w:val="auto"/>
          <w:sz w:val="44"/>
          <w:szCs w:val="44"/>
          <w:highlight w:val="none"/>
        </w:rPr>
      </w:pPr>
      <w:r>
        <w:rPr>
          <w:rFonts w:hint="eastAsia"/>
          <w:b/>
          <w:color w:val="auto"/>
          <w:sz w:val="44"/>
          <w:szCs w:val="44"/>
          <w:highlight w:val="none"/>
        </w:rPr>
        <w:t>目   录</w:t>
      </w:r>
    </w:p>
    <w:p w14:paraId="6B9B24C5">
      <w:pPr>
        <w:spacing w:line="440" w:lineRule="exact"/>
        <w:ind w:left="-9" w:right="-199" w:rightChars="-95" w:firstLine="9"/>
        <w:rPr>
          <w:rFonts w:ascii="宋体" w:hAnsi="宋体" w:cs="宋体"/>
          <w:color w:val="auto"/>
          <w:szCs w:val="21"/>
          <w:highlight w:val="none"/>
        </w:rPr>
      </w:pPr>
    </w:p>
    <w:p w14:paraId="5E5F0051">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（1）详细的货物名称、规格、技术参数等【附技术参数响应表、货物的详细配置清单，格式见附件】；</w:t>
      </w:r>
    </w:p>
    <w:p w14:paraId="4D10EF20">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w:t>
      </w:r>
      <w:r>
        <w:rPr>
          <w:rFonts w:hint="eastAsia" w:ascii="宋体" w:hAnsi="宋体" w:cs="宋体"/>
          <w:bCs/>
          <w:color w:val="auto"/>
          <w:szCs w:val="21"/>
          <w:highlight w:val="none"/>
          <w:lang w:val="en-US" w:eastAsia="zh-CN"/>
        </w:rPr>
        <w:t>供货方案</w:t>
      </w:r>
      <w:r>
        <w:rPr>
          <w:rFonts w:hint="eastAsia" w:ascii="宋体" w:hAnsi="宋体" w:cs="宋体"/>
          <w:bCs/>
          <w:color w:val="auto"/>
          <w:szCs w:val="21"/>
          <w:highlight w:val="none"/>
        </w:rPr>
        <w:t>；</w:t>
      </w:r>
    </w:p>
    <w:p w14:paraId="5AB10FEC">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w:t>
      </w:r>
      <w:r>
        <w:rPr>
          <w:rFonts w:hint="eastAsia" w:ascii="宋体" w:hAnsi="宋体" w:cs="宋体"/>
          <w:color w:val="auto"/>
          <w:spacing w:val="0"/>
          <w:position w:val="0"/>
          <w:sz w:val="21"/>
          <w:szCs w:val="21"/>
          <w:highlight w:val="none"/>
          <w:lang w:val="en-US" w:eastAsia="zh-CN"/>
        </w:rPr>
        <w:t>安装调试方案</w:t>
      </w:r>
      <w:r>
        <w:rPr>
          <w:rFonts w:hint="eastAsia" w:ascii="宋体" w:hAnsi="宋体" w:cs="宋体"/>
          <w:bCs/>
          <w:color w:val="auto"/>
          <w:szCs w:val="21"/>
          <w:highlight w:val="none"/>
        </w:rPr>
        <w:t>；</w:t>
      </w:r>
    </w:p>
    <w:p w14:paraId="5A72819B">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售后服务方案</w:t>
      </w:r>
      <w:r>
        <w:rPr>
          <w:rFonts w:hint="eastAsia" w:ascii="宋体" w:hAnsi="宋体" w:cs="宋体"/>
          <w:bCs/>
          <w:color w:val="auto"/>
          <w:szCs w:val="21"/>
          <w:highlight w:val="none"/>
        </w:rPr>
        <w:t>；</w:t>
      </w:r>
    </w:p>
    <w:p w14:paraId="54157022">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（5）技术标中要求提供的相关资料和技术标评分细则中需要提供的相关资料；</w:t>
      </w:r>
    </w:p>
    <w:p w14:paraId="068E4B69">
      <w:pPr>
        <w:spacing w:line="440" w:lineRule="exact"/>
        <w:ind w:firstLine="422" w:firstLineChars="200"/>
        <w:jc w:val="left"/>
        <w:rPr>
          <w:rFonts w:ascii="宋体" w:hAnsi="宋体" w:cs="宋体"/>
          <w:color w:val="auto"/>
          <w:kern w:val="0"/>
          <w:szCs w:val="21"/>
          <w:highlight w:val="none"/>
          <w:u w:color="000000"/>
        </w:rPr>
      </w:pPr>
      <w:r>
        <w:rPr>
          <w:rFonts w:hint="eastAsia" w:ascii="宋体" w:hAnsi="宋体" w:cs="宋体"/>
          <w:b/>
          <w:color w:val="auto"/>
          <w:szCs w:val="21"/>
          <w:highlight w:val="none"/>
        </w:rPr>
        <w:t>以上材料须按顺序装订，须加盖供应商公章。供应商所提交的技术标文件的完整与否，直接影响供应商的评审</w:t>
      </w:r>
      <w:r>
        <w:rPr>
          <w:rFonts w:hint="eastAsia" w:ascii="宋体" w:hAnsi="宋体" w:cs="宋体"/>
          <w:b/>
          <w:bCs/>
          <w:color w:val="auto"/>
          <w:kern w:val="0"/>
          <w:szCs w:val="21"/>
          <w:highlight w:val="none"/>
          <w:u w:color="000000"/>
        </w:rPr>
        <w:t>。</w:t>
      </w:r>
    </w:p>
    <w:p w14:paraId="1BEFB5E4">
      <w:pPr>
        <w:spacing w:line="440" w:lineRule="exact"/>
        <w:jc w:val="left"/>
        <w:rPr>
          <w:rFonts w:ascii="宋体" w:hAnsi="宋体" w:cs="宋体"/>
          <w:b/>
          <w:color w:val="auto"/>
          <w:szCs w:val="21"/>
          <w:highlight w:val="none"/>
        </w:rPr>
      </w:pPr>
    </w:p>
    <w:p w14:paraId="5621AEE3">
      <w:pPr>
        <w:spacing w:line="440" w:lineRule="exact"/>
        <w:ind w:firstLine="420" w:firstLineChars="200"/>
        <w:jc w:val="left"/>
        <w:rPr>
          <w:rFonts w:ascii="宋体" w:hAnsi="宋体" w:cs="宋体"/>
          <w:bCs/>
          <w:color w:val="auto"/>
          <w:szCs w:val="21"/>
          <w:highlight w:val="none"/>
        </w:rPr>
      </w:pPr>
    </w:p>
    <w:p w14:paraId="653F2A1B">
      <w:pPr>
        <w:spacing w:line="440" w:lineRule="exact"/>
        <w:ind w:firstLine="420" w:firstLineChars="200"/>
        <w:jc w:val="left"/>
        <w:rPr>
          <w:rFonts w:ascii="宋体" w:hAnsi="宋体" w:cs="宋体"/>
          <w:bCs/>
          <w:color w:val="auto"/>
          <w:szCs w:val="21"/>
          <w:highlight w:val="none"/>
        </w:rPr>
      </w:pPr>
    </w:p>
    <w:p w14:paraId="433F4060">
      <w:pPr>
        <w:spacing w:line="440" w:lineRule="exact"/>
        <w:ind w:firstLine="420" w:firstLineChars="200"/>
        <w:jc w:val="left"/>
        <w:rPr>
          <w:rFonts w:ascii="宋体" w:hAnsi="宋体" w:cs="宋体"/>
          <w:bCs/>
          <w:color w:val="auto"/>
          <w:szCs w:val="21"/>
          <w:highlight w:val="none"/>
        </w:rPr>
      </w:pPr>
    </w:p>
    <w:p w14:paraId="6C95724C">
      <w:pPr>
        <w:rPr>
          <w:rFonts w:ascii="宋体" w:hAnsi="宋体"/>
          <w:b/>
          <w:color w:val="auto"/>
          <w:sz w:val="24"/>
          <w:highlight w:val="none"/>
        </w:rPr>
      </w:pPr>
    </w:p>
    <w:p w14:paraId="3C4EBC21">
      <w:pPr>
        <w:rPr>
          <w:rFonts w:ascii="宋体" w:hAnsi="宋体"/>
          <w:b/>
          <w:color w:val="auto"/>
          <w:sz w:val="24"/>
          <w:highlight w:val="none"/>
        </w:rPr>
      </w:pPr>
    </w:p>
    <w:p w14:paraId="339414D5">
      <w:pPr>
        <w:rPr>
          <w:rFonts w:ascii="宋体" w:hAnsi="宋体"/>
          <w:b/>
          <w:color w:val="auto"/>
          <w:sz w:val="24"/>
          <w:highlight w:val="none"/>
        </w:rPr>
      </w:pPr>
    </w:p>
    <w:p w14:paraId="52EFF6DC">
      <w:pPr>
        <w:pStyle w:val="25"/>
        <w:ind w:firstLine="482"/>
        <w:rPr>
          <w:rFonts w:hAnsi="宋体"/>
          <w:b/>
          <w:color w:val="auto"/>
          <w:sz w:val="24"/>
          <w:highlight w:val="none"/>
        </w:rPr>
      </w:pPr>
    </w:p>
    <w:p w14:paraId="5ADE3AB3">
      <w:pPr>
        <w:rPr>
          <w:rFonts w:ascii="宋体" w:hAnsi="宋体"/>
          <w:b/>
          <w:color w:val="auto"/>
          <w:sz w:val="24"/>
          <w:highlight w:val="none"/>
        </w:rPr>
      </w:pPr>
    </w:p>
    <w:p w14:paraId="1A7ECAA2">
      <w:pPr>
        <w:pStyle w:val="25"/>
        <w:ind w:firstLine="482"/>
        <w:rPr>
          <w:rFonts w:hAnsi="宋体"/>
          <w:b/>
          <w:color w:val="auto"/>
          <w:sz w:val="24"/>
          <w:highlight w:val="none"/>
        </w:rPr>
      </w:pPr>
    </w:p>
    <w:p w14:paraId="0D306805">
      <w:pPr>
        <w:rPr>
          <w:rFonts w:ascii="宋体" w:hAnsi="宋体"/>
          <w:b/>
          <w:color w:val="auto"/>
          <w:sz w:val="24"/>
          <w:highlight w:val="none"/>
        </w:rPr>
      </w:pPr>
    </w:p>
    <w:p w14:paraId="15134004">
      <w:pPr>
        <w:pStyle w:val="25"/>
        <w:ind w:firstLine="482"/>
        <w:rPr>
          <w:rFonts w:hAnsi="宋体"/>
          <w:b/>
          <w:color w:val="auto"/>
          <w:sz w:val="24"/>
          <w:highlight w:val="none"/>
        </w:rPr>
      </w:pPr>
    </w:p>
    <w:p w14:paraId="1E8B95C6">
      <w:pPr>
        <w:rPr>
          <w:rFonts w:ascii="宋体" w:hAnsi="宋体"/>
          <w:b/>
          <w:color w:val="auto"/>
          <w:sz w:val="24"/>
          <w:highlight w:val="none"/>
        </w:rPr>
      </w:pPr>
    </w:p>
    <w:p w14:paraId="6BFD88DF">
      <w:pPr>
        <w:pStyle w:val="25"/>
        <w:ind w:firstLine="482"/>
        <w:rPr>
          <w:rFonts w:hAnsi="宋体"/>
          <w:b/>
          <w:color w:val="auto"/>
          <w:sz w:val="24"/>
          <w:highlight w:val="none"/>
        </w:rPr>
      </w:pPr>
    </w:p>
    <w:p w14:paraId="7878B8D6">
      <w:pPr>
        <w:rPr>
          <w:rFonts w:ascii="宋体" w:hAnsi="宋体"/>
          <w:b/>
          <w:color w:val="auto"/>
          <w:sz w:val="24"/>
          <w:highlight w:val="none"/>
        </w:rPr>
      </w:pPr>
    </w:p>
    <w:p w14:paraId="4A57E440">
      <w:pPr>
        <w:pStyle w:val="25"/>
        <w:ind w:firstLine="482"/>
        <w:rPr>
          <w:rFonts w:hAnsi="宋体"/>
          <w:b/>
          <w:color w:val="auto"/>
          <w:sz w:val="24"/>
          <w:highlight w:val="none"/>
        </w:rPr>
      </w:pPr>
    </w:p>
    <w:p w14:paraId="28DC447E">
      <w:pPr>
        <w:rPr>
          <w:rFonts w:ascii="宋体" w:hAnsi="宋体"/>
          <w:b/>
          <w:color w:val="auto"/>
          <w:sz w:val="24"/>
          <w:highlight w:val="none"/>
        </w:rPr>
      </w:pPr>
    </w:p>
    <w:p w14:paraId="253C5610">
      <w:pPr>
        <w:pStyle w:val="25"/>
        <w:ind w:firstLine="482"/>
        <w:rPr>
          <w:rFonts w:hAnsi="宋体"/>
          <w:b/>
          <w:color w:val="auto"/>
          <w:sz w:val="24"/>
          <w:highlight w:val="none"/>
        </w:rPr>
      </w:pPr>
    </w:p>
    <w:p w14:paraId="16BE77CF">
      <w:pPr>
        <w:rPr>
          <w:rFonts w:ascii="宋体" w:hAnsi="宋体"/>
          <w:b/>
          <w:color w:val="auto"/>
          <w:sz w:val="24"/>
          <w:highlight w:val="none"/>
        </w:rPr>
      </w:pPr>
    </w:p>
    <w:p w14:paraId="24070B6E">
      <w:pPr>
        <w:pStyle w:val="25"/>
        <w:ind w:firstLine="482"/>
        <w:rPr>
          <w:rFonts w:hAnsi="宋体"/>
          <w:b/>
          <w:color w:val="auto"/>
          <w:sz w:val="24"/>
          <w:highlight w:val="none"/>
        </w:rPr>
      </w:pPr>
    </w:p>
    <w:p w14:paraId="3D4E3C86">
      <w:pPr>
        <w:rPr>
          <w:rFonts w:ascii="宋体" w:hAnsi="宋体"/>
          <w:b/>
          <w:color w:val="auto"/>
          <w:sz w:val="24"/>
          <w:highlight w:val="none"/>
        </w:rPr>
      </w:pPr>
    </w:p>
    <w:p w14:paraId="7D74B80B">
      <w:pPr>
        <w:rPr>
          <w:rFonts w:ascii="宋体" w:hAnsi="宋体"/>
          <w:b/>
          <w:color w:val="auto"/>
          <w:sz w:val="24"/>
          <w:highlight w:val="none"/>
        </w:rPr>
      </w:pPr>
    </w:p>
    <w:p w14:paraId="59ACE620">
      <w:pPr>
        <w:rPr>
          <w:rFonts w:ascii="宋体" w:hAnsi="宋体"/>
          <w:b/>
          <w:color w:val="auto"/>
          <w:sz w:val="24"/>
          <w:highlight w:val="none"/>
        </w:rPr>
      </w:pPr>
    </w:p>
    <w:p w14:paraId="1EC058A0">
      <w:pPr>
        <w:rPr>
          <w:rFonts w:ascii="宋体" w:hAnsi="宋体"/>
          <w:b/>
          <w:color w:val="auto"/>
          <w:sz w:val="24"/>
          <w:highlight w:val="none"/>
        </w:rPr>
      </w:pPr>
    </w:p>
    <w:p w14:paraId="01C57643">
      <w:pPr>
        <w:rPr>
          <w:rFonts w:ascii="宋体" w:hAnsi="宋体"/>
          <w:b/>
          <w:color w:val="auto"/>
          <w:sz w:val="24"/>
          <w:highlight w:val="none"/>
        </w:rPr>
      </w:pPr>
    </w:p>
    <w:p w14:paraId="0F5689FC">
      <w:pPr>
        <w:jc w:val="center"/>
        <w:rPr>
          <w:rFonts w:ascii="宋体" w:hAnsi="宋体"/>
          <w:b/>
          <w:color w:val="auto"/>
          <w:sz w:val="30"/>
          <w:szCs w:val="30"/>
          <w:highlight w:val="none"/>
        </w:rPr>
      </w:pPr>
      <w:r>
        <w:rPr>
          <w:rFonts w:hint="eastAsia" w:ascii="宋体" w:hAnsi="宋体"/>
          <w:b/>
          <w:color w:val="auto"/>
          <w:sz w:val="30"/>
          <w:szCs w:val="30"/>
          <w:highlight w:val="none"/>
        </w:rPr>
        <w:t>技术参数响应表（格式）</w:t>
      </w:r>
    </w:p>
    <w:p w14:paraId="05F85162">
      <w:pPr>
        <w:rPr>
          <w:rFonts w:ascii="宋体" w:hAnsi="宋体"/>
          <w:color w:val="auto"/>
          <w:sz w:val="24"/>
          <w:highlight w:val="none"/>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421"/>
        <w:gridCol w:w="2085"/>
        <w:gridCol w:w="1625"/>
        <w:gridCol w:w="1187"/>
        <w:gridCol w:w="1736"/>
      </w:tblGrid>
      <w:tr w14:paraId="41AF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5" w:type="dxa"/>
            <w:vMerge w:val="restart"/>
            <w:vAlign w:val="center"/>
          </w:tcPr>
          <w:p w14:paraId="2256D600">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421" w:type="dxa"/>
            <w:vMerge w:val="restart"/>
            <w:vAlign w:val="center"/>
          </w:tcPr>
          <w:p w14:paraId="785C76B8">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品目名称</w:t>
            </w:r>
          </w:p>
        </w:tc>
        <w:tc>
          <w:tcPr>
            <w:tcW w:w="3710" w:type="dxa"/>
            <w:gridSpan w:val="2"/>
            <w:vAlign w:val="center"/>
          </w:tcPr>
          <w:p w14:paraId="0E435DF1">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规格型号及参数</w:t>
            </w:r>
          </w:p>
        </w:tc>
        <w:tc>
          <w:tcPr>
            <w:tcW w:w="1187" w:type="dxa"/>
            <w:vMerge w:val="restart"/>
            <w:vAlign w:val="center"/>
          </w:tcPr>
          <w:p w14:paraId="4977AC02">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1736" w:type="dxa"/>
            <w:vMerge w:val="restart"/>
            <w:vAlign w:val="center"/>
          </w:tcPr>
          <w:p w14:paraId="0F0EB12E">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其他情况说明</w:t>
            </w:r>
          </w:p>
        </w:tc>
      </w:tr>
      <w:tr w14:paraId="6195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5" w:type="dxa"/>
            <w:vMerge w:val="continue"/>
          </w:tcPr>
          <w:p w14:paraId="1528E667">
            <w:pPr>
              <w:spacing w:line="240" w:lineRule="atLeast"/>
              <w:ind w:firstLine="105" w:firstLineChars="50"/>
              <w:rPr>
                <w:rFonts w:ascii="宋体" w:hAnsi="宋体" w:cs="宋体"/>
                <w:color w:val="auto"/>
                <w:szCs w:val="21"/>
                <w:highlight w:val="none"/>
              </w:rPr>
            </w:pPr>
          </w:p>
        </w:tc>
        <w:tc>
          <w:tcPr>
            <w:tcW w:w="1421" w:type="dxa"/>
            <w:vMerge w:val="continue"/>
          </w:tcPr>
          <w:p w14:paraId="5D1BC7F8">
            <w:pPr>
              <w:spacing w:line="240" w:lineRule="atLeast"/>
              <w:jc w:val="center"/>
              <w:rPr>
                <w:rFonts w:ascii="宋体" w:hAnsi="宋体" w:cs="宋体"/>
                <w:color w:val="auto"/>
                <w:szCs w:val="21"/>
                <w:highlight w:val="none"/>
              </w:rPr>
            </w:pPr>
          </w:p>
        </w:tc>
        <w:tc>
          <w:tcPr>
            <w:tcW w:w="2085" w:type="dxa"/>
          </w:tcPr>
          <w:p w14:paraId="0DD36B09">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招标要求规格型号技术参数</w:t>
            </w:r>
          </w:p>
        </w:tc>
        <w:tc>
          <w:tcPr>
            <w:tcW w:w="1625" w:type="dxa"/>
          </w:tcPr>
          <w:p w14:paraId="02BDE801">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投标规格型号技术参数</w:t>
            </w:r>
          </w:p>
        </w:tc>
        <w:tc>
          <w:tcPr>
            <w:tcW w:w="1187" w:type="dxa"/>
            <w:vMerge w:val="continue"/>
          </w:tcPr>
          <w:p w14:paraId="4A7A1686">
            <w:pPr>
              <w:spacing w:line="240" w:lineRule="atLeast"/>
              <w:jc w:val="center"/>
              <w:rPr>
                <w:rFonts w:ascii="宋体" w:hAnsi="宋体" w:cs="宋体"/>
                <w:color w:val="auto"/>
                <w:szCs w:val="21"/>
                <w:highlight w:val="none"/>
              </w:rPr>
            </w:pPr>
          </w:p>
        </w:tc>
        <w:tc>
          <w:tcPr>
            <w:tcW w:w="1736" w:type="dxa"/>
            <w:vMerge w:val="continue"/>
          </w:tcPr>
          <w:p w14:paraId="48BEFA4F">
            <w:pPr>
              <w:spacing w:line="240" w:lineRule="atLeast"/>
              <w:jc w:val="center"/>
              <w:rPr>
                <w:rFonts w:ascii="宋体" w:hAnsi="宋体" w:cs="宋体"/>
                <w:color w:val="auto"/>
                <w:szCs w:val="21"/>
                <w:highlight w:val="none"/>
              </w:rPr>
            </w:pPr>
          </w:p>
        </w:tc>
      </w:tr>
      <w:tr w14:paraId="217C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3EA4067B">
            <w:pPr>
              <w:jc w:val="center"/>
              <w:rPr>
                <w:rFonts w:ascii="宋体" w:hAnsi="宋体"/>
                <w:color w:val="auto"/>
                <w:szCs w:val="21"/>
                <w:highlight w:val="none"/>
              </w:rPr>
            </w:pPr>
            <w:r>
              <w:rPr>
                <w:rFonts w:hint="eastAsia" w:ascii="宋体" w:hAnsi="宋体"/>
                <w:color w:val="auto"/>
                <w:szCs w:val="21"/>
                <w:highlight w:val="none"/>
              </w:rPr>
              <w:t>1</w:t>
            </w:r>
          </w:p>
        </w:tc>
        <w:tc>
          <w:tcPr>
            <w:tcW w:w="1421" w:type="dxa"/>
            <w:shd w:val="clear" w:color="auto" w:fill="FFFFFF"/>
            <w:vAlign w:val="center"/>
          </w:tcPr>
          <w:p w14:paraId="359963F1">
            <w:pPr>
              <w:spacing w:line="360" w:lineRule="auto"/>
              <w:jc w:val="center"/>
              <w:textAlignment w:val="center"/>
              <w:rPr>
                <w:rFonts w:ascii="宋体" w:hAnsi="宋体"/>
                <w:color w:val="auto"/>
                <w:szCs w:val="21"/>
                <w:highlight w:val="none"/>
              </w:rPr>
            </w:pPr>
          </w:p>
        </w:tc>
        <w:tc>
          <w:tcPr>
            <w:tcW w:w="2085" w:type="dxa"/>
            <w:vAlign w:val="center"/>
          </w:tcPr>
          <w:p w14:paraId="589BE46C">
            <w:pPr>
              <w:ind w:firstLine="630" w:firstLineChars="300"/>
              <w:jc w:val="center"/>
              <w:rPr>
                <w:rFonts w:ascii="宋体" w:hAnsi="宋体"/>
                <w:color w:val="auto"/>
                <w:szCs w:val="21"/>
                <w:highlight w:val="none"/>
              </w:rPr>
            </w:pPr>
          </w:p>
        </w:tc>
        <w:tc>
          <w:tcPr>
            <w:tcW w:w="1625" w:type="dxa"/>
            <w:vAlign w:val="center"/>
          </w:tcPr>
          <w:p w14:paraId="6F96F533">
            <w:pPr>
              <w:ind w:firstLine="630" w:firstLineChars="300"/>
              <w:jc w:val="center"/>
              <w:rPr>
                <w:rFonts w:ascii="宋体" w:hAnsi="宋体"/>
                <w:color w:val="auto"/>
                <w:szCs w:val="21"/>
                <w:highlight w:val="none"/>
              </w:rPr>
            </w:pPr>
          </w:p>
        </w:tc>
        <w:tc>
          <w:tcPr>
            <w:tcW w:w="1187" w:type="dxa"/>
            <w:vAlign w:val="center"/>
          </w:tcPr>
          <w:p w14:paraId="0D4989EF">
            <w:pPr>
              <w:jc w:val="center"/>
              <w:rPr>
                <w:rFonts w:ascii="宋体" w:hAnsi="宋体"/>
                <w:color w:val="auto"/>
                <w:szCs w:val="21"/>
                <w:highlight w:val="none"/>
              </w:rPr>
            </w:pPr>
            <w:r>
              <w:rPr>
                <w:rFonts w:hint="eastAsia" w:ascii="宋体" w:hAnsi="宋体" w:cs="宋体"/>
                <w:color w:val="auto"/>
                <w:szCs w:val="21"/>
                <w:highlight w:val="none"/>
              </w:rPr>
              <w:t>是/否</w:t>
            </w:r>
          </w:p>
        </w:tc>
        <w:tc>
          <w:tcPr>
            <w:tcW w:w="1736" w:type="dxa"/>
            <w:vAlign w:val="center"/>
          </w:tcPr>
          <w:p w14:paraId="593D5896">
            <w:pPr>
              <w:jc w:val="center"/>
              <w:rPr>
                <w:rFonts w:ascii="宋体" w:hAnsi="宋体"/>
                <w:color w:val="auto"/>
                <w:szCs w:val="21"/>
                <w:highlight w:val="none"/>
              </w:rPr>
            </w:pPr>
          </w:p>
        </w:tc>
      </w:tr>
      <w:tr w14:paraId="58C7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37A05507">
            <w:pPr>
              <w:jc w:val="center"/>
              <w:rPr>
                <w:rFonts w:ascii="宋体" w:hAnsi="宋体"/>
                <w:color w:val="auto"/>
                <w:szCs w:val="21"/>
                <w:highlight w:val="none"/>
              </w:rPr>
            </w:pPr>
            <w:r>
              <w:rPr>
                <w:rFonts w:hint="eastAsia" w:ascii="宋体" w:hAnsi="宋体"/>
                <w:color w:val="auto"/>
                <w:szCs w:val="21"/>
                <w:highlight w:val="none"/>
              </w:rPr>
              <w:t>2</w:t>
            </w:r>
          </w:p>
        </w:tc>
        <w:tc>
          <w:tcPr>
            <w:tcW w:w="1421" w:type="dxa"/>
            <w:shd w:val="clear" w:color="auto" w:fill="FFFFFF"/>
            <w:vAlign w:val="center"/>
          </w:tcPr>
          <w:p w14:paraId="1CEABB79">
            <w:pPr>
              <w:spacing w:line="360" w:lineRule="auto"/>
              <w:jc w:val="center"/>
              <w:textAlignment w:val="center"/>
              <w:rPr>
                <w:rFonts w:ascii="宋体" w:hAnsi="宋体"/>
                <w:color w:val="auto"/>
                <w:sz w:val="24"/>
                <w:highlight w:val="none"/>
              </w:rPr>
            </w:pPr>
          </w:p>
        </w:tc>
        <w:tc>
          <w:tcPr>
            <w:tcW w:w="2085" w:type="dxa"/>
            <w:vAlign w:val="center"/>
          </w:tcPr>
          <w:p w14:paraId="7426C0D5">
            <w:pPr>
              <w:ind w:firstLine="630" w:firstLineChars="300"/>
              <w:jc w:val="center"/>
              <w:rPr>
                <w:rFonts w:ascii="宋体" w:hAnsi="宋体"/>
                <w:color w:val="auto"/>
                <w:szCs w:val="21"/>
                <w:highlight w:val="none"/>
              </w:rPr>
            </w:pPr>
          </w:p>
        </w:tc>
        <w:tc>
          <w:tcPr>
            <w:tcW w:w="1625" w:type="dxa"/>
            <w:vAlign w:val="center"/>
          </w:tcPr>
          <w:p w14:paraId="0DC0AE35">
            <w:pPr>
              <w:ind w:firstLine="630" w:firstLineChars="300"/>
              <w:jc w:val="center"/>
              <w:rPr>
                <w:rFonts w:ascii="宋体" w:hAnsi="宋体"/>
                <w:color w:val="auto"/>
                <w:szCs w:val="21"/>
                <w:highlight w:val="none"/>
              </w:rPr>
            </w:pPr>
          </w:p>
        </w:tc>
        <w:tc>
          <w:tcPr>
            <w:tcW w:w="1187" w:type="dxa"/>
            <w:vAlign w:val="center"/>
          </w:tcPr>
          <w:p w14:paraId="33E7E06D">
            <w:pPr>
              <w:jc w:val="center"/>
              <w:rPr>
                <w:color w:val="auto"/>
                <w:highlight w:val="none"/>
              </w:rPr>
            </w:pPr>
            <w:r>
              <w:rPr>
                <w:rFonts w:hint="eastAsia" w:ascii="宋体" w:hAnsi="宋体" w:cs="宋体"/>
                <w:color w:val="auto"/>
                <w:szCs w:val="21"/>
                <w:highlight w:val="none"/>
              </w:rPr>
              <w:t>是/否</w:t>
            </w:r>
          </w:p>
        </w:tc>
        <w:tc>
          <w:tcPr>
            <w:tcW w:w="1736" w:type="dxa"/>
            <w:vAlign w:val="center"/>
          </w:tcPr>
          <w:p w14:paraId="61997FC6">
            <w:pPr>
              <w:jc w:val="center"/>
              <w:rPr>
                <w:rFonts w:ascii="宋体" w:hAnsi="宋体"/>
                <w:color w:val="auto"/>
                <w:szCs w:val="21"/>
                <w:highlight w:val="none"/>
              </w:rPr>
            </w:pPr>
          </w:p>
        </w:tc>
      </w:tr>
      <w:tr w14:paraId="7155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035F68AB">
            <w:pPr>
              <w:jc w:val="center"/>
              <w:rPr>
                <w:rFonts w:ascii="宋体" w:hAnsi="宋体"/>
                <w:color w:val="auto"/>
                <w:szCs w:val="21"/>
                <w:highlight w:val="none"/>
              </w:rPr>
            </w:pPr>
            <w:r>
              <w:rPr>
                <w:rFonts w:hint="eastAsia" w:ascii="宋体" w:hAnsi="宋体"/>
                <w:color w:val="auto"/>
                <w:szCs w:val="21"/>
                <w:highlight w:val="none"/>
              </w:rPr>
              <w:t>3</w:t>
            </w:r>
          </w:p>
        </w:tc>
        <w:tc>
          <w:tcPr>
            <w:tcW w:w="1421" w:type="dxa"/>
            <w:shd w:val="clear" w:color="auto" w:fill="FFFFFF"/>
            <w:vAlign w:val="center"/>
          </w:tcPr>
          <w:p w14:paraId="7E3F0E68">
            <w:pPr>
              <w:spacing w:line="360" w:lineRule="auto"/>
              <w:jc w:val="center"/>
              <w:textAlignment w:val="center"/>
              <w:rPr>
                <w:rFonts w:ascii="宋体" w:hAnsi="宋体"/>
                <w:color w:val="auto"/>
                <w:sz w:val="24"/>
                <w:highlight w:val="none"/>
              </w:rPr>
            </w:pPr>
          </w:p>
        </w:tc>
        <w:tc>
          <w:tcPr>
            <w:tcW w:w="2085" w:type="dxa"/>
            <w:vAlign w:val="center"/>
          </w:tcPr>
          <w:p w14:paraId="5418A504">
            <w:pPr>
              <w:ind w:firstLine="630" w:firstLineChars="300"/>
              <w:jc w:val="center"/>
              <w:rPr>
                <w:rFonts w:ascii="宋体" w:hAnsi="宋体"/>
                <w:color w:val="auto"/>
                <w:szCs w:val="21"/>
                <w:highlight w:val="none"/>
              </w:rPr>
            </w:pPr>
          </w:p>
        </w:tc>
        <w:tc>
          <w:tcPr>
            <w:tcW w:w="1625" w:type="dxa"/>
            <w:vAlign w:val="center"/>
          </w:tcPr>
          <w:p w14:paraId="507F6065">
            <w:pPr>
              <w:ind w:firstLine="630" w:firstLineChars="300"/>
              <w:jc w:val="center"/>
              <w:rPr>
                <w:rFonts w:ascii="宋体" w:hAnsi="宋体"/>
                <w:color w:val="auto"/>
                <w:szCs w:val="21"/>
                <w:highlight w:val="none"/>
              </w:rPr>
            </w:pPr>
          </w:p>
        </w:tc>
        <w:tc>
          <w:tcPr>
            <w:tcW w:w="1187" w:type="dxa"/>
            <w:vAlign w:val="center"/>
          </w:tcPr>
          <w:p w14:paraId="41A1E9A5">
            <w:pPr>
              <w:jc w:val="center"/>
              <w:rPr>
                <w:color w:val="auto"/>
                <w:highlight w:val="none"/>
              </w:rPr>
            </w:pPr>
            <w:r>
              <w:rPr>
                <w:rFonts w:hint="eastAsia" w:ascii="宋体" w:hAnsi="宋体" w:cs="宋体"/>
                <w:color w:val="auto"/>
                <w:szCs w:val="21"/>
                <w:highlight w:val="none"/>
              </w:rPr>
              <w:t>是/否</w:t>
            </w:r>
          </w:p>
        </w:tc>
        <w:tc>
          <w:tcPr>
            <w:tcW w:w="1736" w:type="dxa"/>
            <w:vAlign w:val="center"/>
          </w:tcPr>
          <w:p w14:paraId="7B8D2871">
            <w:pPr>
              <w:jc w:val="center"/>
              <w:rPr>
                <w:rFonts w:ascii="宋体" w:hAnsi="宋体"/>
                <w:color w:val="auto"/>
                <w:szCs w:val="21"/>
                <w:highlight w:val="none"/>
              </w:rPr>
            </w:pPr>
          </w:p>
        </w:tc>
      </w:tr>
      <w:tr w14:paraId="5283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77E39DBD">
            <w:pPr>
              <w:jc w:val="center"/>
              <w:rPr>
                <w:rFonts w:ascii="宋体" w:hAnsi="宋体"/>
                <w:color w:val="auto"/>
                <w:szCs w:val="21"/>
                <w:highlight w:val="none"/>
              </w:rPr>
            </w:pPr>
            <w:r>
              <w:rPr>
                <w:rFonts w:ascii="宋体" w:hAnsi="宋体"/>
                <w:color w:val="auto"/>
                <w:szCs w:val="21"/>
                <w:highlight w:val="none"/>
              </w:rPr>
              <w:t>…</w:t>
            </w:r>
          </w:p>
        </w:tc>
        <w:tc>
          <w:tcPr>
            <w:tcW w:w="1421" w:type="dxa"/>
            <w:shd w:val="clear" w:color="auto" w:fill="FFFFFF"/>
            <w:vAlign w:val="center"/>
          </w:tcPr>
          <w:p w14:paraId="72274B60">
            <w:pPr>
              <w:spacing w:line="360" w:lineRule="auto"/>
              <w:jc w:val="center"/>
              <w:textAlignment w:val="center"/>
              <w:rPr>
                <w:rFonts w:ascii="宋体" w:hAnsi="宋体"/>
                <w:color w:val="auto"/>
                <w:sz w:val="24"/>
                <w:highlight w:val="none"/>
              </w:rPr>
            </w:pPr>
          </w:p>
        </w:tc>
        <w:tc>
          <w:tcPr>
            <w:tcW w:w="2085" w:type="dxa"/>
            <w:vAlign w:val="center"/>
          </w:tcPr>
          <w:p w14:paraId="68839B7B">
            <w:pPr>
              <w:ind w:firstLine="630" w:firstLineChars="300"/>
              <w:jc w:val="center"/>
              <w:rPr>
                <w:rFonts w:ascii="宋体" w:hAnsi="宋体"/>
                <w:color w:val="auto"/>
                <w:szCs w:val="21"/>
                <w:highlight w:val="none"/>
              </w:rPr>
            </w:pPr>
          </w:p>
        </w:tc>
        <w:tc>
          <w:tcPr>
            <w:tcW w:w="1625" w:type="dxa"/>
            <w:vAlign w:val="center"/>
          </w:tcPr>
          <w:p w14:paraId="1BF0B665">
            <w:pPr>
              <w:ind w:firstLine="630" w:firstLineChars="300"/>
              <w:jc w:val="center"/>
              <w:rPr>
                <w:rFonts w:ascii="宋体" w:hAnsi="宋体"/>
                <w:color w:val="auto"/>
                <w:szCs w:val="21"/>
                <w:highlight w:val="none"/>
              </w:rPr>
            </w:pPr>
          </w:p>
        </w:tc>
        <w:tc>
          <w:tcPr>
            <w:tcW w:w="1187" w:type="dxa"/>
            <w:vAlign w:val="center"/>
          </w:tcPr>
          <w:p w14:paraId="7C920C11">
            <w:pPr>
              <w:jc w:val="center"/>
              <w:rPr>
                <w:rFonts w:ascii="宋体" w:hAnsi="宋体" w:cs="宋体"/>
                <w:color w:val="auto"/>
                <w:szCs w:val="21"/>
                <w:highlight w:val="none"/>
              </w:rPr>
            </w:pPr>
            <w:r>
              <w:rPr>
                <w:rFonts w:ascii="宋体" w:hAnsi="宋体" w:cs="宋体"/>
                <w:color w:val="auto"/>
                <w:szCs w:val="21"/>
                <w:highlight w:val="none"/>
              </w:rPr>
              <w:t>…</w:t>
            </w:r>
          </w:p>
        </w:tc>
        <w:tc>
          <w:tcPr>
            <w:tcW w:w="1736" w:type="dxa"/>
            <w:vAlign w:val="center"/>
          </w:tcPr>
          <w:p w14:paraId="09E5DE0B">
            <w:pPr>
              <w:jc w:val="center"/>
              <w:rPr>
                <w:rFonts w:ascii="宋体" w:hAnsi="宋体"/>
                <w:color w:val="auto"/>
                <w:szCs w:val="21"/>
                <w:highlight w:val="none"/>
              </w:rPr>
            </w:pPr>
          </w:p>
        </w:tc>
      </w:tr>
    </w:tbl>
    <w:p w14:paraId="2B5468FF">
      <w:pPr>
        <w:autoSpaceDE w:val="0"/>
        <w:autoSpaceDN w:val="0"/>
        <w:adjustRightInd w:val="0"/>
        <w:ind w:firstLine="632" w:firstLineChars="300"/>
        <w:rPr>
          <w:rFonts w:ascii="宋体" w:hAnsi="宋体"/>
          <w:b/>
          <w:color w:val="auto"/>
          <w:szCs w:val="21"/>
          <w:highlight w:val="none"/>
          <w:lang w:val="zh-CN"/>
        </w:rPr>
      </w:pPr>
    </w:p>
    <w:p w14:paraId="604CBB67">
      <w:pPr>
        <w:spacing w:line="480" w:lineRule="auto"/>
        <w:ind w:firstLine="480" w:firstLineChars="200"/>
        <w:rPr>
          <w:rFonts w:ascii="宋体" w:hAnsi="宋体"/>
          <w:color w:val="auto"/>
          <w:sz w:val="24"/>
          <w:highlight w:val="none"/>
        </w:rPr>
      </w:pPr>
    </w:p>
    <w:p w14:paraId="7ABE442B">
      <w:pPr>
        <w:spacing w:line="480" w:lineRule="auto"/>
        <w:ind w:firstLine="480" w:firstLineChars="200"/>
        <w:rPr>
          <w:rFonts w:ascii="宋体" w:hAnsi="宋体"/>
          <w:color w:val="auto"/>
          <w:sz w:val="24"/>
          <w:highlight w:val="none"/>
        </w:rPr>
      </w:pPr>
      <w:r>
        <w:rPr>
          <w:rFonts w:hint="eastAsia" w:ascii="宋体" w:hAnsi="宋体"/>
          <w:color w:val="auto"/>
          <w:sz w:val="24"/>
          <w:highlight w:val="none"/>
        </w:rPr>
        <w:t xml:space="preserve">投标供应商： </w:t>
      </w:r>
      <w:r>
        <w:rPr>
          <w:rFonts w:hint="eastAsia" w:ascii="宋体" w:hAnsi="宋体"/>
          <w:color w:val="auto"/>
          <w:sz w:val="24"/>
          <w:highlight w:val="none"/>
          <w:u w:val="single"/>
        </w:rPr>
        <w:t xml:space="preserve">                               </w:t>
      </w:r>
      <w:r>
        <w:rPr>
          <w:rFonts w:hint="eastAsia" w:ascii="宋体" w:hAnsi="宋体"/>
          <w:color w:val="auto"/>
          <w:sz w:val="24"/>
          <w:highlight w:val="none"/>
        </w:rPr>
        <w:t>（盖章）</w:t>
      </w:r>
    </w:p>
    <w:p w14:paraId="704A1915">
      <w:pPr>
        <w:spacing w:line="480" w:lineRule="auto"/>
        <w:ind w:firstLine="480" w:firstLineChars="200"/>
        <w:jc w:val="right"/>
        <w:rPr>
          <w:rFonts w:ascii="宋体" w:hAnsi="宋体"/>
          <w:color w:val="auto"/>
          <w:sz w:val="24"/>
          <w:highlight w:val="none"/>
        </w:rPr>
      </w:pPr>
      <w:r>
        <w:rPr>
          <w:rFonts w:hint="eastAsia" w:ascii="宋体" w:hAnsi="宋体"/>
          <w:color w:val="auto"/>
          <w:sz w:val="24"/>
          <w:highlight w:val="none"/>
        </w:rPr>
        <w:t xml:space="preserve"> 日 期： 年  月  日</w:t>
      </w:r>
    </w:p>
    <w:p w14:paraId="65B13762">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货物的详细配置清单</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36"/>
        <w:gridCol w:w="2154"/>
        <w:gridCol w:w="1171"/>
        <w:gridCol w:w="2180"/>
        <w:gridCol w:w="1532"/>
      </w:tblGrid>
      <w:tr w14:paraId="6865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7" w:type="dxa"/>
            <w:vAlign w:val="center"/>
          </w:tcPr>
          <w:p w14:paraId="5AA69513">
            <w:pPr>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1436" w:type="dxa"/>
            <w:vAlign w:val="center"/>
          </w:tcPr>
          <w:p w14:paraId="43B1D803">
            <w:pPr>
              <w:spacing w:line="360" w:lineRule="auto"/>
              <w:jc w:val="center"/>
              <w:rPr>
                <w:rFonts w:ascii="宋体" w:hAnsi="宋体"/>
                <w:color w:val="auto"/>
                <w:szCs w:val="21"/>
                <w:highlight w:val="none"/>
              </w:rPr>
            </w:pPr>
            <w:r>
              <w:rPr>
                <w:rFonts w:hint="eastAsia" w:ascii="宋体" w:hAnsi="宋体"/>
                <w:color w:val="auto"/>
                <w:szCs w:val="21"/>
                <w:highlight w:val="none"/>
              </w:rPr>
              <w:t>货物名称</w:t>
            </w:r>
          </w:p>
        </w:tc>
        <w:tc>
          <w:tcPr>
            <w:tcW w:w="2154" w:type="dxa"/>
            <w:vAlign w:val="center"/>
          </w:tcPr>
          <w:p w14:paraId="18B8CA54">
            <w:pPr>
              <w:spacing w:line="360" w:lineRule="auto"/>
              <w:jc w:val="center"/>
              <w:rPr>
                <w:rFonts w:ascii="宋体" w:hAnsi="宋体"/>
                <w:color w:val="auto"/>
                <w:szCs w:val="21"/>
                <w:highlight w:val="none"/>
              </w:rPr>
            </w:pPr>
            <w:r>
              <w:rPr>
                <w:rFonts w:hint="eastAsia" w:ascii="宋体" w:hAnsi="宋体"/>
                <w:color w:val="auto"/>
                <w:szCs w:val="21"/>
                <w:highlight w:val="none"/>
              </w:rPr>
              <w:t>品牌、规格型号</w:t>
            </w:r>
          </w:p>
        </w:tc>
        <w:tc>
          <w:tcPr>
            <w:tcW w:w="1171" w:type="dxa"/>
            <w:vAlign w:val="center"/>
          </w:tcPr>
          <w:p w14:paraId="0436A6D3">
            <w:pPr>
              <w:spacing w:line="360" w:lineRule="auto"/>
              <w:jc w:val="center"/>
              <w:rPr>
                <w:rFonts w:ascii="宋体" w:hAnsi="宋体"/>
                <w:color w:val="auto"/>
                <w:szCs w:val="21"/>
                <w:highlight w:val="none"/>
              </w:rPr>
            </w:pPr>
            <w:r>
              <w:rPr>
                <w:rFonts w:hint="eastAsia" w:ascii="宋体" w:hAnsi="宋体"/>
                <w:color w:val="auto"/>
                <w:szCs w:val="21"/>
                <w:highlight w:val="none"/>
              </w:rPr>
              <w:t>产地</w:t>
            </w:r>
          </w:p>
        </w:tc>
        <w:tc>
          <w:tcPr>
            <w:tcW w:w="2180" w:type="dxa"/>
            <w:vAlign w:val="center"/>
          </w:tcPr>
          <w:p w14:paraId="3FAAA9DE">
            <w:pPr>
              <w:spacing w:line="360" w:lineRule="auto"/>
              <w:jc w:val="center"/>
              <w:rPr>
                <w:rFonts w:ascii="宋体" w:hAnsi="宋体"/>
                <w:color w:val="auto"/>
                <w:szCs w:val="21"/>
                <w:highlight w:val="none"/>
              </w:rPr>
            </w:pPr>
            <w:r>
              <w:rPr>
                <w:rFonts w:hint="eastAsia" w:ascii="宋体" w:hAnsi="宋体"/>
                <w:color w:val="auto"/>
                <w:szCs w:val="21"/>
                <w:highlight w:val="none"/>
              </w:rPr>
              <w:t>生产厂家</w:t>
            </w:r>
          </w:p>
        </w:tc>
        <w:tc>
          <w:tcPr>
            <w:tcW w:w="1532" w:type="dxa"/>
            <w:vAlign w:val="center"/>
          </w:tcPr>
          <w:p w14:paraId="114392DA">
            <w:pPr>
              <w:spacing w:line="360" w:lineRule="auto"/>
              <w:jc w:val="center"/>
              <w:rPr>
                <w:rFonts w:ascii="宋体" w:hAnsi="宋体"/>
                <w:color w:val="auto"/>
                <w:szCs w:val="21"/>
                <w:highlight w:val="none"/>
              </w:rPr>
            </w:pPr>
            <w:r>
              <w:rPr>
                <w:rFonts w:hint="eastAsia" w:ascii="宋体" w:hAnsi="宋体"/>
                <w:color w:val="auto"/>
                <w:szCs w:val="21"/>
                <w:highlight w:val="none"/>
              </w:rPr>
              <w:t>详细配置清单</w:t>
            </w:r>
          </w:p>
        </w:tc>
      </w:tr>
      <w:tr w14:paraId="1C4B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7" w:type="dxa"/>
            <w:shd w:val="clear" w:color="auto" w:fill="auto"/>
          </w:tcPr>
          <w:p w14:paraId="158FDE9B">
            <w:pPr>
              <w:numPr>
                <w:ilvl w:val="0"/>
                <w:numId w:val="4"/>
              </w:numPr>
              <w:spacing w:line="360" w:lineRule="auto"/>
              <w:ind w:left="0" w:firstLine="0"/>
              <w:rPr>
                <w:rFonts w:ascii="宋体" w:hAnsi="宋体"/>
                <w:color w:val="auto"/>
                <w:szCs w:val="21"/>
                <w:highlight w:val="none"/>
              </w:rPr>
            </w:pPr>
          </w:p>
        </w:tc>
        <w:tc>
          <w:tcPr>
            <w:tcW w:w="1436" w:type="dxa"/>
            <w:shd w:val="clear" w:color="auto" w:fill="FFFFFF"/>
            <w:vAlign w:val="center"/>
          </w:tcPr>
          <w:p w14:paraId="4B5BAE9C">
            <w:pPr>
              <w:spacing w:line="360" w:lineRule="auto"/>
              <w:jc w:val="center"/>
              <w:textAlignment w:val="center"/>
              <w:rPr>
                <w:rFonts w:ascii="宋体" w:hAnsi="宋体"/>
                <w:color w:val="auto"/>
                <w:szCs w:val="21"/>
                <w:highlight w:val="none"/>
              </w:rPr>
            </w:pPr>
          </w:p>
        </w:tc>
        <w:tc>
          <w:tcPr>
            <w:tcW w:w="2154" w:type="dxa"/>
          </w:tcPr>
          <w:p w14:paraId="17466965">
            <w:pPr>
              <w:spacing w:line="360" w:lineRule="auto"/>
              <w:rPr>
                <w:rFonts w:ascii="宋体" w:hAnsi="宋体"/>
                <w:color w:val="auto"/>
                <w:szCs w:val="21"/>
                <w:highlight w:val="none"/>
              </w:rPr>
            </w:pPr>
          </w:p>
        </w:tc>
        <w:tc>
          <w:tcPr>
            <w:tcW w:w="1171" w:type="dxa"/>
          </w:tcPr>
          <w:p w14:paraId="03460F8D">
            <w:pPr>
              <w:spacing w:line="360" w:lineRule="auto"/>
              <w:rPr>
                <w:rFonts w:ascii="宋体" w:hAnsi="宋体"/>
                <w:color w:val="auto"/>
                <w:szCs w:val="21"/>
                <w:highlight w:val="none"/>
              </w:rPr>
            </w:pPr>
          </w:p>
        </w:tc>
        <w:tc>
          <w:tcPr>
            <w:tcW w:w="2180" w:type="dxa"/>
          </w:tcPr>
          <w:p w14:paraId="31CF4F1E">
            <w:pPr>
              <w:spacing w:line="360" w:lineRule="auto"/>
              <w:rPr>
                <w:rFonts w:ascii="宋体" w:hAnsi="宋体"/>
                <w:color w:val="auto"/>
                <w:szCs w:val="21"/>
                <w:highlight w:val="none"/>
              </w:rPr>
            </w:pPr>
          </w:p>
        </w:tc>
        <w:tc>
          <w:tcPr>
            <w:tcW w:w="1532" w:type="dxa"/>
          </w:tcPr>
          <w:p w14:paraId="791B02E5">
            <w:pPr>
              <w:spacing w:line="360" w:lineRule="auto"/>
              <w:rPr>
                <w:rFonts w:ascii="宋体" w:hAnsi="宋体"/>
                <w:color w:val="auto"/>
                <w:szCs w:val="21"/>
                <w:highlight w:val="none"/>
              </w:rPr>
            </w:pPr>
          </w:p>
        </w:tc>
      </w:tr>
      <w:tr w14:paraId="25B8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7" w:type="dxa"/>
            <w:shd w:val="clear" w:color="auto" w:fill="auto"/>
          </w:tcPr>
          <w:p w14:paraId="05BBF68C">
            <w:pPr>
              <w:numPr>
                <w:ilvl w:val="0"/>
                <w:numId w:val="4"/>
              </w:numPr>
              <w:spacing w:line="360" w:lineRule="auto"/>
              <w:ind w:left="0" w:firstLine="0"/>
              <w:rPr>
                <w:rFonts w:ascii="宋体" w:hAnsi="宋体"/>
                <w:color w:val="auto"/>
                <w:szCs w:val="21"/>
                <w:highlight w:val="none"/>
              </w:rPr>
            </w:pPr>
          </w:p>
        </w:tc>
        <w:tc>
          <w:tcPr>
            <w:tcW w:w="1436" w:type="dxa"/>
            <w:shd w:val="clear" w:color="auto" w:fill="FFFFFF"/>
            <w:vAlign w:val="center"/>
          </w:tcPr>
          <w:p w14:paraId="16EE02AC">
            <w:pPr>
              <w:spacing w:line="360" w:lineRule="auto"/>
              <w:jc w:val="center"/>
              <w:textAlignment w:val="center"/>
              <w:rPr>
                <w:rFonts w:ascii="宋体" w:hAnsi="宋体"/>
                <w:color w:val="auto"/>
                <w:szCs w:val="21"/>
                <w:highlight w:val="none"/>
              </w:rPr>
            </w:pPr>
          </w:p>
        </w:tc>
        <w:tc>
          <w:tcPr>
            <w:tcW w:w="2154" w:type="dxa"/>
          </w:tcPr>
          <w:p w14:paraId="43E94199">
            <w:pPr>
              <w:spacing w:line="360" w:lineRule="auto"/>
              <w:rPr>
                <w:rFonts w:ascii="宋体" w:hAnsi="宋体"/>
                <w:color w:val="auto"/>
                <w:szCs w:val="21"/>
                <w:highlight w:val="none"/>
              </w:rPr>
            </w:pPr>
          </w:p>
        </w:tc>
        <w:tc>
          <w:tcPr>
            <w:tcW w:w="1171" w:type="dxa"/>
          </w:tcPr>
          <w:p w14:paraId="66865E80">
            <w:pPr>
              <w:spacing w:line="360" w:lineRule="auto"/>
              <w:rPr>
                <w:rFonts w:ascii="宋体" w:hAnsi="宋体"/>
                <w:color w:val="auto"/>
                <w:szCs w:val="21"/>
                <w:highlight w:val="none"/>
              </w:rPr>
            </w:pPr>
          </w:p>
        </w:tc>
        <w:tc>
          <w:tcPr>
            <w:tcW w:w="2180" w:type="dxa"/>
          </w:tcPr>
          <w:p w14:paraId="4BE43F1F">
            <w:pPr>
              <w:spacing w:line="360" w:lineRule="auto"/>
              <w:rPr>
                <w:rFonts w:ascii="宋体" w:hAnsi="宋体"/>
                <w:color w:val="auto"/>
                <w:szCs w:val="21"/>
                <w:highlight w:val="none"/>
              </w:rPr>
            </w:pPr>
          </w:p>
        </w:tc>
        <w:tc>
          <w:tcPr>
            <w:tcW w:w="1532" w:type="dxa"/>
          </w:tcPr>
          <w:p w14:paraId="0E567450">
            <w:pPr>
              <w:spacing w:line="360" w:lineRule="auto"/>
              <w:rPr>
                <w:rFonts w:ascii="宋体" w:hAnsi="宋体"/>
                <w:color w:val="auto"/>
                <w:szCs w:val="21"/>
                <w:highlight w:val="none"/>
              </w:rPr>
            </w:pPr>
          </w:p>
        </w:tc>
      </w:tr>
      <w:tr w14:paraId="365C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7" w:type="dxa"/>
            <w:shd w:val="clear" w:color="auto" w:fill="auto"/>
          </w:tcPr>
          <w:p w14:paraId="3E5148B8">
            <w:pPr>
              <w:numPr>
                <w:ilvl w:val="0"/>
                <w:numId w:val="4"/>
              </w:numPr>
              <w:spacing w:line="360" w:lineRule="auto"/>
              <w:ind w:left="0" w:firstLine="0"/>
              <w:rPr>
                <w:rFonts w:ascii="宋体" w:hAnsi="宋体"/>
                <w:color w:val="auto"/>
                <w:szCs w:val="21"/>
                <w:highlight w:val="none"/>
              </w:rPr>
            </w:pPr>
          </w:p>
        </w:tc>
        <w:tc>
          <w:tcPr>
            <w:tcW w:w="1436" w:type="dxa"/>
            <w:shd w:val="clear" w:color="auto" w:fill="FFFFFF"/>
            <w:vAlign w:val="center"/>
          </w:tcPr>
          <w:p w14:paraId="4F5F9761">
            <w:pPr>
              <w:spacing w:line="360" w:lineRule="auto"/>
              <w:jc w:val="center"/>
              <w:textAlignment w:val="center"/>
              <w:rPr>
                <w:rFonts w:ascii="宋体" w:hAnsi="宋体"/>
                <w:color w:val="auto"/>
                <w:szCs w:val="21"/>
                <w:highlight w:val="none"/>
              </w:rPr>
            </w:pPr>
          </w:p>
        </w:tc>
        <w:tc>
          <w:tcPr>
            <w:tcW w:w="2154" w:type="dxa"/>
          </w:tcPr>
          <w:p w14:paraId="213F4A98">
            <w:pPr>
              <w:spacing w:line="360" w:lineRule="auto"/>
              <w:rPr>
                <w:rFonts w:ascii="宋体" w:hAnsi="宋体"/>
                <w:color w:val="auto"/>
                <w:szCs w:val="21"/>
                <w:highlight w:val="none"/>
              </w:rPr>
            </w:pPr>
          </w:p>
        </w:tc>
        <w:tc>
          <w:tcPr>
            <w:tcW w:w="1171" w:type="dxa"/>
          </w:tcPr>
          <w:p w14:paraId="141D6158">
            <w:pPr>
              <w:spacing w:line="360" w:lineRule="auto"/>
              <w:rPr>
                <w:rFonts w:ascii="宋体" w:hAnsi="宋体"/>
                <w:color w:val="auto"/>
                <w:szCs w:val="21"/>
                <w:highlight w:val="none"/>
              </w:rPr>
            </w:pPr>
          </w:p>
        </w:tc>
        <w:tc>
          <w:tcPr>
            <w:tcW w:w="2180" w:type="dxa"/>
          </w:tcPr>
          <w:p w14:paraId="462C2251">
            <w:pPr>
              <w:spacing w:line="360" w:lineRule="auto"/>
              <w:rPr>
                <w:rFonts w:ascii="宋体" w:hAnsi="宋体"/>
                <w:color w:val="auto"/>
                <w:szCs w:val="21"/>
                <w:highlight w:val="none"/>
              </w:rPr>
            </w:pPr>
          </w:p>
        </w:tc>
        <w:tc>
          <w:tcPr>
            <w:tcW w:w="1532" w:type="dxa"/>
          </w:tcPr>
          <w:p w14:paraId="262D63DB">
            <w:pPr>
              <w:spacing w:line="360" w:lineRule="auto"/>
              <w:rPr>
                <w:rFonts w:ascii="宋体" w:hAnsi="宋体"/>
                <w:color w:val="auto"/>
                <w:szCs w:val="21"/>
                <w:highlight w:val="none"/>
              </w:rPr>
            </w:pPr>
          </w:p>
        </w:tc>
      </w:tr>
      <w:tr w14:paraId="41CA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7" w:type="dxa"/>
            <w:shd w:val="clear" w:color="auto" w:fill="auto"/>
          </w:tcPr>
          <w:p w14:paraId="16CCC2E6">
            <w:pPr>
              <w:spacing w:line="360" w:lineRule="auto"/>
              <w:rPr>
                <w:rFonts w:ascii="宋体" w:hAnsi="宋体"/>
                <w:color w:val="auto"/>
                <w:szCs w:val="21"/>
                <w:highlight w:val="none"/>
              </w:rPr>
            </w:pPr>
            <w:r>
              <w:rPr>
                <w:rFonts w:ascii="宋体" w:hAnsi="宋体"/>
                <w:color w:val="auto"/>
                <w:szCs w:val="21"/>
                <w:highlight w:val="none"/>
              </w:rPr>
              <w:t>…</w:t>
            </w:r>
          </w:p>
        </w:tc>
        <w:tc>
          <w:tcPr>
            <w:tcW w:w="1436" w:type="dxa"/>
            <w:shd w:val="clear" w:color="auto" w:fill="FFFFFF"/>
            <w:vAlign w:val="center"/>
          </w:tcPr>
          <w:p w14:paraId="485DB1FE">
            <w:pPr>
              <w:spacing w:line="360" w:lineRule="auto"/>
              <w:jc w:val="center"/>
              <w:textAlignment w:val="center"/>
              <w:rPr>
                <w:rFonts w:ascii="宋体" w:hAnsi="宋体"/>
                <w:color w:val="auto"/>
                <w:szCs w:val="21"/>
                <w:highlight w:val="none"/>
              </w:rPr>
            </w:pPr>
          </w:p>
        </w:tc>
        <w:tc>
          <w:tcPr>
            <w:tcW w:w="2154" w:type="dxa"/>
          </w:tcPr>
          <w:p w14:paraId="4D823F34">
            <w:pPr>
              <w:spacing w:line="360" w:lineRule="auto"/>
              <w:rPr>
                <w:rFonts w:ascii="宋体" w:hAnsi="宋体"/>
                <w:color w:val="auto"/>
                <w:szCs w:val="21"/>
                <w:highlight w:val="none"/>
              </w:rPr>
            </w:pPr>
          </w:p>
        </w:tc>
        <w:tc>
          <w:tcPr>
            <w:tcW w:w="1171" w:type="dxa"/>
          </w:tcPr>
          <w:p w14:paraId="18BF973E">
            <w:pPr>
              <w:spacing w:line="360" w:lineRule="auto"/>
              <w:rPr>
                <w:rFonts w:ascii="宋体" w:hAnsi="宋体"/>
                <w:color w:val="auto"/>
                <w:szCs w:val="21"/>
                <w:highlight w:val="none"/>
              </w:rPr>
            </w:pPr>
          </w:p>
        </w:tc>
        <w:tc>
          <w:tcPr>
            <w:tcW w:w="2180" w:type="dxa"/>
          </w:tcPr>
          <w:p w14:paraId="0919E7D7">
            <w:pPr>
              <w:spacing w:line="360" w:lineRule="auto"/>
              <w:rPr>
                <w:rFonts w:ascii="宋体" w:hAnsi="宋体"/>
                <w:color w:val="auto"/>
                <w:szCs w:val="21"/>
                <w:highlight w:val="none"/>
              </w:rPr>
            </w:pPr>
          </w:p>
        </w:tc>
        <w:tc>
          <w:tcPr>
            <w:tcW w:w="1532" w:type="dxa"/>
          </w:tcPr>
          <w:p w14:paraId="41DFCD11">
            <w:pPr>
              <w:spacing w:line="360" w:lineRule="auto"/>
              <w:rPr>
                <w:rFonts w:ascii="宋体" w:hAnsi="宋体"/>
                <w:color w:val="auto"/>
                <w:szCs w:val="21"/>
                <w:highlight w:val="none"/>
              </w:rPr>
            </w:pPr>
          </w:p>
        </w:tc>
      </w:tr>
    </w:tbl>
    <w:p w14:paraId="1D3C80C0">
      <w:pPr>
        <w:spacing w:line="480" w:lineRule="auto"/>
        <w:rPr>
          <w:rFonts w:ascii="宋体" w:hAnsi="宋体"/>
          <w:color w:val="auto"/>
          <w:sz w:val="24"/>
          <w:highlight w:val="none"/>
        </w:rPr>
      </w:pPr>
    </w:p>
    <w:p w14:paraId="35240AC3">
      <w:pPr>
        <w:spacing w:line="480" w:lineRule="auto"/>
        <w:ind w:firstLine="480" w:firstLineChars="200"/>
        <w:rPr>
          <w:rFonts w:ascii="宋体" w:hAnsi="宋体"/>
          <w:color w:val="auto"/>
          <w:sz w:val="24"/>
          <w:highlight w:val="none"/>
        </w:rPr>
      </w:pPr>
      <w:r>
        <w:rPr>
          <w:rFonts w:hint="eastAsia" w:ascii="宋体" w:hAnsi="宋体"/>
          <w:color w:val="auto"/>
          <w:sz w:val="24"/>
          <w:highlight w:val="none"/>
        </w:rPr>
        <w:t xml:space="preserve">投标供应商： </w:t>
      </w:r>
      <w:r>
        <w:rPr>
          <w:rFonts w:hint="eastAsia" w:ascii="宋体" w:hAnsi="宋体"/>
          <w:color w:val="auto"/>
          <w:sz w:val="24"/>
          <w:highlight w:val="none"/>
          <w:u w:val="single"/>
        </w:rPr>
        <w:t xml:space="preserve">                                    </w:t>
      </w:r>
      <w:r>
        <w:rPr>
          <w:rFonts w:hint="eastAsia" w:ascii="宋体" w:hAnsi="宋体"/>
          <w:color w:val="auto"/>
          <w:sz w:val="24"/>
          <w:highlight w:val="none"/>
        </w:rPr>
        <w:t>（盖章）</w:t>
      </w:r>
    </w:p>
    <w:p w14:paraId="42BD997B">
      <w:pPr>
        <w:spacing w:line="480" w:lineRule="auto"/>
        <w:ind w:firstLine="480" w:firstLineChars="200"/>
        <w:jc w:val="right"/>
        <w:rPr>
          <w:rFonts w:ascii="宋体" w:hAnsi="宋体"/>
          <w:b/>
          <w:color w:val="auto"/>
          <w:sz w:val="30"/>
          <w:szCs w:val="30"/>
          <w:highlight w:val="none"/>
        </w:rPr>
      </w:pPr>
      <w:r>
        <w:rPr>
          <w:rFonts w:hint="eastAsia" w:ascii="宋体" w:hAnsi="宋体"/>
          <w:color w:val="auto"/>
          <w:sz w:val="24"/>
          <w:highlight w:val="none"/>
        </w:rPr>
        <w:t xml:space="preserve"> 日 期： 年  月  日</w:t>
      </w:r>
    </w:p>
    <w:p w14:paraId="7EB5D7D3">
      <w:pPr>
        <w:pStyle w:val="25"/>
        <w:ind w:firstLine="0" w:firstLineChars="0"/>
        <w:rPr>
          <w:rFonts w:hAnsi="宋体"/>
          <w:b/>
          <w:color w:val="auto"/>
          <w:sz w:val="24"/>
          <w:highlight w:val="none"/>
        </w:rPr>
      </w:pPr>
    </w:p>
    <w:p w14:paraId="2125B92F">
      <w:pPr>
        <w:pStyle w:val="20"/>
        <w:ind w:left="482" w:hanging="482"/>
        <w:rPr>
          <w:rFonts w:hAnsi="宋体"/>
          <w:b/>
          <w:color w:val="auto"/>
          <w:sz w:val="24"/>
          <w:highlight w:val="none"/>
        </w:rPr>
      </w:pPr>
    </w:p>
    <w:p w14:paraId="3F3DF98B">
      <w:pPr>
        <w:rPr>
          <w:rFonts w:hAnsi="宋体"/>
          <w:b/>
          <w:color w:val="auto"/>
          <w:sz w:val="24"/>
          <w:highlight w:val="none"/>
        </w:rPr>
      </w:pPr>
    </w:p>
    <w:p w14:paraId="479B2F8C">
      <w:pPr>
        <w:pStyle w:val="8"/>
        <w:rPr>
          <w:color w:val="auto"/>
          <w:highlight w:val="none"/>
        </w:rPr>
      </w:pPr>
    </w:p>
    <w:p w14:paraId="277BF6D6">
      <w:pPr>
        <w:widowControl/>
        <w:spacing w:line="357" w:lineRule="atLeast"/>
        <w:jc w:val="center"/>
        <w:textAlignment w:val="baseline"/>
        <w:rPr>
          <w:rFonts w:ascii="宋体" w:hAnsi="宋体" w:cs="宋体"/>
          <w:b/>
          <w:color w:val="auto"/>
          <w:kern w:val="0"/>
          <w:sz w:val="30"/>
          <w:szCs w:val="30"/>
          <w:highlight w:val="none"/>
          <w:u w:color="000000"/>
        </w:rPr>
      </w:pPr>
      <w:r>
        <w:rPr>
          <w:rFonts w:hint="eastAsia" w:ascii="宋体" w:hAnsi="宋体" w:cs="宋体"/>
          <w:b/>
          <w:color w:val="auto"/>
          <w:kern w:val="0"/>
          <w:sz w:val="30"/>
          <w:szCs w:val="30"/>
          <w:highlight w:val="none"/>
          <w:u w:color="000000"/>
        </w:rPr>
        <w:t>服务承诺书</w:t>
      </w:r>
    </w:p>
    <w:p w14:paraId="59B93593">
      <w:pPr>
        <w:rPr>
          <w:rFonts w:hAnsi="宋体"/>
          <w:b/>
          <w:color w:val="auto"/>
          <w:sz w:val="24"/>
          <w:highlight w:val="none"/>
        </w:rPr>
      </w:pPr>
    </w:p>
    <w:p w14:paraId="31492D55">
      <w:pPr>
        <w:rPr>
          <w:rFonts w:hAnsi="宋体"/>
          <w:b/>
          <w:color w:val="auto"/>
          <w:sz w:val="24"/>
          <w:highlight w:val="none"/>
        </w:rPr>
      </w:pPr>
    </w:p>
    <w:p w14:paraId="5F5CE30E">
      <w:pPr>
        <w:widowControl/>
        <w:spacing w:line="357" w:lineRule="atLeast"/>
        <w:ind w:firstLine="480" w:firstLineChars="200"/>
        <w:textAlignment w:val="baseline"/>
        <w:rPr>
          <w:rFonts w:ascii="宋体" w:hAnsi="宋体" w:cs="宋体"/>
          <w:color w:val="auto"/>
          <w:kern w:val="0"/>
          <w:sz w:val="24"/>
          <w:highlight w:val="none"/>
          <w:u w:color="000000"/>
        </w:rPr>
      </w:pPr>
    </w:p>
    <w:p w14:paraId="097F6D60">
      <w:pPr>
        <w:widowControl/>
        <w:spacing w:line="357" w:lineRule="atLeast"/>
        <w:textAlignment w:val="baseline"/>
        <w:rPr>
          <w:rFonts w:ascii="宋体" w:hAnsi="宋体" w:cs="宋体"/>
          <w:b/>
          <w:color w:val="auto"/>
          <w:kern w:val="0"/>
          <w:sz w:val="24"/>
          <w:highlight w:val="none"/>
          <w:u w:color="000000"/>
        </w:rPr>
      </w:pPr>
      <w:r>
        <w:rPr>
          <w:rFonts w:hint="eastAsia" w:ascii="宋体" w:hAnsi="宋体" w:cs="宋体"/>
          <w:color w:val="auto"/>
          <w:kern w:val="0"/>
          <w:sz w:val="24"/>
          <w:highlight w:val="none"/>
          <w:u w:color="000000"/>
        </w:rPr>
        <w:t>致：</w:t>
      </w:r>
      <w:r>
        <w:rPr>
          <w:rFonts w:hint="eastAsia" w:ascii="宋体" w:hAnsi="宋体" w:cs="宋体"/>
          <w:color w:val="auto"/>
          <w:kern w:val="0"/>
          <w:sz w:val="24"/>
          <w:highlight w:val="none"/>
          <w:u w:val="single" w:color="000000"/>
        </w:rPr>
        <w:t xml:space="preserve">          （采购人）     ：</w:t>
      </w:r>
    </w:p>
    <w:p w14:paraId="7893B4D1">
      <w:pPr>
        <w:widowControl/>
        <w:spacing w:line="800" w:lineRule="exact"/>
        <w:ind w:firstLine="480" w:firstLineChars="200"/>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本承诺声明：</w:t>
      </w:r>
      <w:r>
        <w:rPr>
          <w:rFonts w:hint="eastAsia" w:ascii="宋体" w:hAnsi="宋体" w:cs="宋体"/>
          <w:color w:val="auto"/>
          <w:kern w:val="0"/>
          <w:sz w:val="24"/>
          <w:highlight w:val="none"/>
          <w:u w:val="single" w:color="000000"/>
        </w:rPr>
        <w:t xml:space="preserve">                           </w:t>
      </w:r>
      <w:r>
        <w:rPr>
          <w:rFonts w:hint="eastAsia" w:ascii="宋体" w:hAnsi="宋体" w:cs="宋体"/>
          <w:color w:val="auto"/>
          <w:kern w:val="0"/>
          <w:sz w:val="24"/>
          <w:highlight w:val="none"/>
          <w:u w:color="000000"/>
        </w:rPr>
        <w:t>（供应商名称）对本招标文件的相关要求</w:t>
      </w:r>
      <w:r>
        <w:rPr>
          <w:rFonts w:hint="eastAsia" w:ascii="宋体" w:hAnsi="宋体" w:cs="宋体"/>
          <w:color w:val="auto"/>
          <w:kern w:val="0"/>
          <w:sz w:val="24"/>
          <w:highlight w:val="none"/>
          <w:u w:val="single"/>
        </w:rPr>
        <w:t xml:space="preserve">       （完全响应或优于）</w:t>
      </w:r>
      <w:r>
        <w:rPr>
          <w:rFonts w:hint="eastAsia" w:ascii="宋体" w:hAnsi="宋体" w:cs="宋体"/>
          <w:color w:val="auto"/>
          <w:kern w:val="0"/>
          <w:sz w:val="24"/>
          <w:highlight w:val="none"/>
          <w:u w:color="000000"/>
        </w:rPr>
        <w:t>。若有幸中标将严格按照承诺进行服务。</w:t>
      </w:r>
    </w:p>
    <w:p w14:paraId="558CB7ED">
      <w:pPr>
        <w:widowControl/>
        <w:spacing w:line="480" w:lineRule="auto"/>
        <w:textAlignment w:val="baseline"/>
        <w:rPr>
          <w:rFonts w:ascii="宋体" w:hAnsi="宋体" w:cs="宋体"/>
          <w:color w:val="auto"/>
          <w:kern w:val="0"/>
          <w:sz w:val="24"/>
          <w:highlight w:val="none"/>
          <w:u w:color="000000"/>
        </w:rPr>
      </w:pPr>
    </w:p>
    <w:p w14:paraId="1278DEA2">
      <w:pPr>
        <w:widowControl/>
        <w:spacing w:line="480" w:lineRule="auto"/>
        <w:textAlignment w:val="baseline"/>
        <w:rPr>
          <w:rFonts w:ascii="宋体" w:hAnsi="宋体" w:cs="宋体"/>
          <w:color w:val="auto"/>
          <w:kern w:val="0"/>
          <w:sz w:val="24"/>
          <w:highlight w:val="none"/>
          <w:u w:color="000000"/>
        </w:rPr>
      </w:pPr>
    </w:p>
    <w:p w14:paraId="4201B708">
      <w:pPr>
        <w:widowControl/>
        <w:spacing w:line="440" w:lineRule="exact"/>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特此声明</w:t>
      </w:r>
    </w:p>
    <w:p w14:paraId="56D78100">
      <w:pPr>
        <w:widowControl/>
        <w:spacing w:line="600" w:lineRule="exact"/>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 </w:t>
      </w:r>
    </w:p>
    <w:p w14:paraId="247CC7B3">
      <w:pPr>
        <w:widowControl/>
        <w:spacing w:line="600" w:lineRule="exact"/>
        <w:textAlignment w:val="baseline"/>
        <w:rPr>
          <w:rFonts w:ascii="宋体" w:hAnsi="宋体" w:cs="宋体"/>
          <w:color w:val="auto"/>
          <w:kern w:val="0"/>
          <w:sz w:val="24"/>
          <w:highlight w:val="none"/>
          <w:u w:color="000000"/>
        </w:rPr>
      </w:pPr>
    </w:p>
    <w:p w14:paraId="6205EAAD">
      <w:pPr>
        <w:widowControl/>
        <w:spacing w:line="600" w:lineRule="exact"/>
        <w:textAlignment w:val="baseline"/>
        <w:rPr>
          <w:rFonts w:ascii="宋体" w:hAnsi="宋体" w:cs="宋体"/>
          <w:color w:val="auto"/>
          <w:kern w:val="0"/>
          <w:sz w:val="24"/>
          <w:highlight w:val="none"/>
          <w:u w:color="000000"/>
        </w:rPr>
      </w:pPr>
    </w:p>
    <w:p w14:paraId="1808E816">
      <w:pPr>
        <w:widowControl/>
        <w:spacing w:line="600" w:lineRule="exact"/>
        <w:textAlignment w:val="baseline"/>
        <w:rPr>
          <w:rFonts w:ascii="宋体" w:hAnsi="宋体" w:cs="宋体"/>
          <w:color w:val="auto"/>
          <w:kern w:val="0"/>
          <w:sz w:val="24"/>
          <w:highlight w:val="none"/>
          <w:u w:color="000000"/>
        </w:rPr>
      </w:pPr>
    </w:p>
    <w:p w14:paraId="28BC436C">
      <w:pPr>
        <w:widowControl/>
        <w:spacing w:line="600" w:lineRule="exact"/>
        <w:textAlignment w:val="baseline"/>
        <w:rPr>
          <w:rFonts w:ascii="宋体" w:hAnsi="宋体" w:cs="宋体"/>
          <w:color w:val="auto"/>
          <w:kern w:val="0"/>
          <w:sz w:val="24"/>
          <w:highlight w:val="none"/>
          <w:u w:color="000000"/>
        </w:rPr>
      </w:pPr>
    </w:p>
    <w:p w14:paraId="59735F3F">
      <w:pPr>
        <w:widowControl/>
        <w:spacing w:line="600" w:lineRule="exact"/>
        <w:textAlignment w:val="baseline"/>
        <w:rPr>
          <w:rFonts w:ascii="宋体" w:hAnsi="宋体" w:cs="宋体"/>
          <w:color w:val="auto"/>
          <w:kern w:val="0"/>
          <w:sz w:val="24"/>
          <w:highlight w:val="none"/>
          <w:u w:color="000000"/>
        </w:rPr>
      </w:pPr>
    </w:p>
    <w:p w14:paraId="3A19EBFF">
      <w:pPr>
        <w:widowControl/>
        <w:spacing w:line="300" w:lineRule="exact"/>
        <w:jc w:val="right"/>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法定代表人：</w:t>
      </w:r>
      <w:r>
        <w:rPr>
          <w:rFonts w:hint="eastAsia" w:ascii="宋体" w:hAnsi="宋体" w:cs="宋体"/>
          <w:color w:val="auto"/>
          <w:kern w:val="0"/>
          <w:sz w:val="24"/>
          <w:highlight w:val="none"/>
          <w:u w:val="single" w:color="000000"/>
        </w:rPr>
        <w:t xml:space="preserve">                （签字或盖章）          </w:t>
      </w:r>
    </w:p>
    <w:p w14:paraId="0F7F75FF">
      <w:pPr>
        <w:widowControl/>
        <w:spacing w:line="300" w:lineRule="exact"/>
        <w:textAlignment w:val="baseline"/>
        <w:rPr>
          <w:rFonts w:ascii="宋体" w:hAnsi="宋体" w:cs="宋体"/>
          <w:color w:val="auto"/>
          <w:kern w:val="0"/>
          <w:sz w:val="24"/>
          <w:highlight w:val="none"/>
          <w:u w:color="000000"/>
        </w:rPr>
      </w:pPr>
    </w:p>
    <w:p w14:paraId="27DE81BE">
      <w:pPr>
        <w:widowControl/>
        <w:spacing w:line="300" w:lineRule="exact"/>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 xml:space="preserve">                                     </w:t>
      </w:r>
    </w:p>
    <w:p w14:paraId="1E242227">
      <w:pPr>
        <w:widowControl/>
        <w:spacing w:line="300" w:lineRule="exact"/>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 xml:space="preserve">                                    供应商名称：</w:t>
      </w:r>
      <w:r>
        <w:rPr>
          <w:rFonts w:hint="eastAsia" w:ascii="宋体" w:hAnsi="宋体" w:cs="宋体"/>
          <w:color w:val="auto"/>
          <w:kern w:val="0"/>
          <w:sz w:val="24"/>
          <w:highlight w:val="none"/>
          <w:u w:val="single" w:color="000000"/>
        </w:rPr>
        <w:t xml:space="preserve">        （盖章）           </w:t>
      </w:r>
    </w:p>
    <w:p w14:paraId="6B3EFA9F">
      <w:pPr>
        <w:widowControl/>
        <w:spacing w:line="300" w:lineRule="exact"/>
        <w:textAlignment w:val="baseline"/>
        <w:rPr>
          <w:rFonts w:ascii="宋体" w:hAnsi="宋体" w:cs="宋体"/>
          <w:color w:val="auto"/>
          <w:kern w:val="0"/>
          <w:sz w:val="24"/>
          <w:highlight w:val="none"/>
          <w:u w:color="000000"/>
        </w:rPr>
      </w:pPr>
    </w:p>
    <w:p w14:paraId="6A219866">
      <w:pPr>
        <w:widowControl/>
        <w:spacing w:line="400" w:lineRule="exact"/>
        <w:ind w:firstLine="4680" w:firstLineChars="1950"/>
        <w:textAlignment w:val="baseline"/>
        <w:rPr>
          <w:rFonts w:ascii="宋体" w:hAnsi="宋体" w:cs="宋体"/>
          <w:color w:val="auto"/>
          <w:kern w:val="0"/>
          <w:sz w:val="24"/>
          <w:highlight w:val="none"/>
          <w:u w:color="000000"/>
        </w:rPr>
      </w:pPr>
    </w:p>
    <w:p w14:paraId="25E07DF6">
      <w:pPr>
        <w:widowControl/>
        <w:spacing w:line="400" w:lineRule="exact"/>
        <w:ind w:firstLine="4320" w:firstLineChars="1800"/>
        <w:textAlignment w:val="baseline"/>
        <w:rPr>
          <w:rFonts w:ascii="宋体" w:hAnsi="宋体" w:cs="宋体"/>
          <w:color w:val="auto"/>
          <w:kern w:val="0"/>
          <w:sz w:val="24"/>
          <w:highlight w:val="none"/>
          <w:u w:val="single" w:color="000000"/>
        </w:rPr>
      </w:pPr>
      <w:r>
        <w:rPr>
          <w:rFonts w:hint="eastAsia" w:ascii="宋体" w:hAnsi="宋体" w:cs="宋体"/>
          <w:color w:val="auto"/>
          <w:kern w:val="0"/>
          <w:sz w:val="24"/>
          <w:highlight w:val="none"/>
          <w:u w:color="000000"/>
        </w:rPr>
        <w:t>日    期：</w:t>
      </w:r>
      <w:r>
        <w:rPr>
          <w:rFonts w:hint="eastAsia" w:ascii="宋体" w:hAnsi="宋体" w:cs="宋体"/>
          <w:color w:val="auto"/>
          <w:kern w:val="0"/>
          <w:sz w:val="24"/>
          <w:highlight w:val="none"/>
          <w:u w:val="single" w:color="000000"/>
        </w:rPr>
        <w:t xml:space="preserve">                                </w:t>
      </w:r>
    </w:p>
    <w:p w14:paraId="304D1857">
      <w:pPr>
        <w:widowControl/>
        <w:spacing w:line="400" w:lineRule="exact"/>
        <w:ind w:firstLine="4698" w:firstLineChars="1950"/>
        <w:textAlignment w:val="baseline"/>
        <w:rPr>
          <w:rFonts w:ascii="宋体" w:hAnsi="宋体" w:cs="宋体"/>
          <w:b/>
          <w:color w:val="auto"/>
          <w:kern w:val="0"/>
          <w:sz w:val="24"/>
          <w:highlight w:val="none"/>
          <w:u w:color="000000"/>
        </w:rPr>
      </w:pPr>
    </w:p>
    <w:p w14:paraId="18AB9082">
      <w:pPr>
        <w:pStyle w:val="20"/>
        <w:ind w:left="482" w:hanging="482"/>
        <w:rPr>
          <w:rFonts w:hAnsi="宋体"/>
          <w:b/>
          <w:color w:val="auto"/>
          <w:sz w:val="24"/>
          <w:highlight w:val="none"/>
        </w:rPr>
      </w:pPr>
    </w:p>
    <w:p w14:paraId="08D388F9">
      <w:pPr>
        <w:rPr>
          <w:rFonts w:hAnsi="宋体"/>
          <w:b/>
          <w:color w:val="auto"/>
          <w:sz w:val="24"/>
          <w:highlight w:val="none"/>
        </w:rPr>
      </w:pPr>
    </w:p>
    <w:p w14:paraId="363A5F59">
      <w:pPr>
        <w:pStyle w:val="8"/>
        <w:rPr>
          <w:color w:val="auto"/>
          <w:highlight w:val="none"/>
        </w:rPr>
      </w:pPr>
    </w:p>
    <w:p w14:paraId="78689738">
      <w:pPr>
        <w:rPr>
          <w:color w:val="auto"/>
          <w:highlight w:val="none"/>
        </w:rPr>
      </w:pPr>
    </w:p>
    <w:p w14:paraId="5F7E40E5">
      <w:pPr>
        <w:rPr>
          <w:color w:val="auto"/>
          <w:highlight w:val="none"/>
        </w:rPr>
      </w:pPr>
    </w:p>
    <w:p w14:paraId="098C6D48">
      <w:pPr>
        <w:rPr>
          <w:color w:val="auto"/>
          <w:highlight w:val="none"/>
        </w:rPr>
      </w:pPr>
    </w:p>
    <w:p w14:paraId="6B491FB2">
      <w:pPr>
        <w:rPr>
          <w:color w:val="auto"/>
          <w:highlight w:val="none"/>
        </w:rPr>
      </w:pPr>
    </w:p>
    <w:p w14:paraId="6F51E6DF">
      <w:pPr>
        <w:pStyle w:val="25"/>
        <w:ind w:firstLine="6104" w:firstLineChars="1900"/>
        <w:jc w:val="right"/>
        <w:rPr>
          <w:color w:val="auto"/>
          <w:highlight w:val="none"/>
        </w:rPr>
      </w:pPr>
      <w:r>
        <w:rPr>
          <w:rFonts w:hint="eastAsia"/>
          <w:b/>
          <w:bCs/>
          <w:color w:val="auto"/>
          <w:sz w:val="32"/>
          <w:szCs w:val="21"/>
          <w:highlight w:val="none"/>
        </w:rPr>
        <w:t>正本/副本</w:t>
      </w:r>
    </w:p>
    <w:p w14:paraId="3412F8EA">
      <w:pPr>
        <w:rPr>
          <w:color w:val="auto"/>
          <w:highlight w:val="none"/>
        </w:rPr>
      </w:pPr>
    </w:p>
    <w:p w14:paraId="56E4053E">
      <w:pPr>
        <w:rPr>
          <w:rFonts w:ascii="宋体"/>
          <w:color w:val="auto"/>
          <w:sz w:val="20"/>
          <w:highlight w:val="none"/>
        </w:rPr>
      </w:pPr>
    </w:p>
    <w:p w14:paraId="04AA0C5F">
      <w:pPr>
        <w:jc w:val="center"/>
        <w:outlineLvl w:val="1"/>
        <w:rPr>
          <w:rFonts w:ascii="宋体"/>
          <w:b/>
          <w:color w:val="auto"/>
          <w:sz w:val="44"/>
          <w:szCs w:val="44"/>
          <w:highlight w:val="none"/>
        </w:rPr>
      </w:pPr>
      <w:bookmarkStart w:id="179" w:name="_Toc469495746"/>
      <w:bookmarkStart w:id="180" w:name="_Toc26668"/>
      <w:r>
        <w:rPr>
          <w:rFonts w:hint="eastAsia" w:ascii="宋体"/>
          <w:b/>
          <w:color w:val="auto"/>
          <w:sz w:val="44"/>
          <w:szCs w:val="44"/>
          <w:highlight w:val="none"/>
        </w:rPr>
        <w:t>商务标</w:t>
      </w:r>
      <w:bookmarkEnd w:id="179"/>
      <w:bookmarkEnd w:id="180"/>
    </w:p>
    <w:p w14:paraId="0AA93AC2">
      <w:pPr>
        <w:jc w:val="center"/>
        <w:rPr>
          <w:rFonts w:ascii="宋体"/>
          <w:color w:val="auto"/>
          <w:sz w:val="36"/>
          <w:szCs w:val="36"/>
          <w:highlight w:val="none"/>
        </w:rPr>
      </w:pPr>
      <w:r>
        <w:rPr>
          <w:rFonts w:hint="eastAsia" w:ascii="宋体"/>
          <w:color w:val="auto"/>
          <w:sz w:val="44"/>
          <w:szCs w:val="44"/>
          <w:highlight w:val="none"/>
        </w:rPr>
        <w:t>（</w:t>
      </w:r>
      <w:r>
        <w:rPr>
          <w:rFonts w:hint="eastAsia" w:ascii="宋体"/>
          <w:color w:val="auto"/>
          <w:sz w:val="36"/>
          <w:szCs w:val="36"/>
          <w:highlight w:val="none"/>
        </w:rPr>
        <w:t>投标文件三）</w:t>
      </w:r>
    </w:p>
    <w:p w14:paraId="193FD854">
      <w:pPr>
        <w:jc w:val="center"/>
        <w:rPr>
          <w:rFonts w:ascii="宋体"/>
          <w:color w:val="auto"/>
          <w:sz w:val="36"/>
          <w:szCs w:val="36"/>
          <w:highlight w:val="none"/>
        </w:rPr>
      </w:pPr>
    </w:p>
    <w:p w14:paraId="415ADCAB">
      <w:pPr>
        <w:jc w:val="center"/>
        <w:rPr>
          <w:rFonts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项目名称</w:t>
      </w:r>
      <w:r>
        <w:rPr>
          <w:rFonts w:hint="eastAsia" w:ascii="宋体" w:hAnsi="宋体"/>
          <w:color w:val="auto"/>
          <w:sz w:val="32"/>
          <w:szCs w:val="32"/>
          <w:highlight w:val="none"/>
        </w:rPr>
        <w:t xml:space="preserve"> </w:t>
      </w:r>
    </w:p>
    <w:p w14:paraId="55D050E7">
      <w:pPr>
        <w:ind w:firstLine="3360" w:firstLineChars="1200"/>
        <w:rPr>
          <w:rFonts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33BCA461">
      <w:pPr>
        <w:rPr>
          <w:rFonts w:ascii="宋体"/>
          <w:color w:val="auto"/>
          <w:sz w:val="28"/>
          <w:szCs w:val="28"/>
          <w:highlight w:val="none"/>
        </w:rPr>
      </w:pPr>
    </w:p>
    <w:p w14:paraId="66FAFDBE">
      <w:pPr>
        <w:rPr>
          <w:rFonts w:ascii="宋体"/>
          <w:color w:val="auto"/>
          <w:sz w:val="28"/>
          <w:szCs w:val="28"/>
          <w:highlight w:val="none"/>
        </w:rPr>
      </w:pPr>
    </w:p>
    <w:p w14:paraId="45E5606D">
      <w:pPr>
        <w:rPr>
          <w:rFonts w:ascii="宋体"/>
          <w:color w:val="auto"/>
          <w:sz w:val="28"/>
          <w:szCs w:val="28"/>
          <w:highlight w:val="none"/>
        </w:rPr>
      </w:pPr>
    </w:p>
    <w:p w14:paraId="0BB11FD9">
      <w:pPr>
        <w:rPr>
          <w:rFonts w:ascii="宋体"/>
          <w:color w:val="auto"/>
          <w:sz w:val="28"/>
          <w:szCs w:val="28"/>
          <w:highlight w:val="none"/>
        </w:rPr>
      </w:pPr>
    </w:p>
    <w:p w14:paraId="251F910A">
      <w:pPr>
        <w:rPr>
          <w:rFonts w:ascii="宋体"/>
          <w:color w:val="auto"/>
          <w:sz w:val="28"/>
          <w:szCs w:val="28"/>
          <w:highlight w:val="none"/>
        </w:rPr>
      </w:pPr>
    </w:p>
    <w:p w14:paraId="470BF1DE">
      <w:pPr>
        <w:rPr>
          <w:rFonts w:ascii="宋体"/>
          <w:color w:val="auto"/>
          <w:sz w:val="28"/>
          <w:szCs w:val="28"/>
          <w:highlight w:val="none"/>
        </w:rPr>
      </w:pPr>
    </w:p>
    <w:p w14:paraId="304AA532">
      <w:pPr>
        <w:rPr>
          <w:rFonts w:ascii="宋体"/>
          <w:color w:val="auto"/>
          <w:sz w:val="28"/>
          <w:szCs w:val="28"/>
          <w:highlight w:val="none"/>
        </w:rPr>
      </w:pPr>
    </w:p>
    <w:p w14:paraId="3AB036F2">
      <w:pPr>
        <w:pStyle w:val="8"/>
        <w:rPr>
          <w:color w:val="auto"/>
          <w:highlight w:val="none"/>
        </w:rPr>
      </w:pPr>
    </w:p>
    <w:p w14:paraId="1538BC35">
      <w:pPr>
        <w:rPr>
          <w:rFonts w:ascii="宋体"/>
          <w:color w:val="auto"/>
          <w:sz w:val="28"/>
          <w:szCs w:val="28"/>
          <w:highlight w:val="none"/>
        </w:rPr>
      </w:pPr>
    </w:p>
    <w:p w14:paraId="3C98EC02">
      <w:pPr>
        <w:jc w:val="center"/>
        <w:rPr>
          <w:rFonts w:ascii="宋体"/>
          <w:color w:val="auto"/>
          <w:sz w:val="28"/>
          <w:szCs w:val="28"/>
          <w:highlight w:val="none"/>
          <w:u w:val="single"/>
        </w:rPr>
      </w:pPr>
      <w:r>
        <w:rPr>
          <w:rFonts w:hint="eastAsia" w:ascii="宋体"/>
          <w:color w:val="auto"/>
          <w:sz w:val="28"/>
          <w:szCs w:val="28"/>
          <w:highlight w:val="none"/>
        </w:rPr>
        <w:t>投标供应商：</w:t>
      </w:r>
      <w:r>
        <w:rPr>
          <w:rFonts w:hint="eastAsia" w:ascii="宋体"/>
          <w:color w:val="auto"/>
          <w:sz w:val="28"/>
          <w:szCs w:val="28"/>
          <w:highlight w:val="none"/>
          <w:u w:val="single"/>
        </w:rPr>
        <w:t xml:space="preserve">                                </w:t>
      </w:r>
      <w:r>
        <w:rPr>
          <w:rFonts w:hint="eastAsia" w:ascii="宋体"/>
          <w:color w:val="auto"/>
          <w:sz w:val="28"/>
          <w:szCs w:val="28"/>
          <w:highlight w:val="none"/>
        </w:rPr>
        <w:t>（盖章）</w:t>
      </w:r>
    </w:p>
    <w:p w14:paraId="51A2EFC1">
      <w:pPr>
        <w:jc w:val="center"/>
        <w:rPr>
          <w:rFonts w:ascii="宋体"/>
          <w:color w:val="auto"/>
          <w:sz w:val="28"/>
          <w:szCs w:val="28"/>
          <w:highlight w:val="non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（签字或盖章）</w:t>
      </w:r>
    </w:p>
    <w:p w14:paraId="72D48F95">
      <w:pPr>
        <w:jc w:val="center"/>
        <w:rPr>
          <w:rFonts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5F954A7A">
      <w:pPr>
        <w:pStyle w:val="25"/>
        <w:ind w:firstLine="562"/>
        <w:rPr>
          <w:rFonts w:hAnsi="宋体" w:cs="宋体"/>
          <w:b/>
          <w:bCs/>
          <w:color w:val="auto"/>
          <w:szCs w:val="28"/>
          <w:highlight w:val="none"/>
        </w:rPr>
      </w:pPr>
    </w:p>
    <w:p w14:paraId="7D571431">
      <w:pPr>
        <w:rPr>
          <w:rFonts w:hAnsi="宋体" w:cs="宋体"/>
          <w:b/>
          <w:bCs/>
          <w:color w:val="auto"/>
          <w:szCs w:val="28"/>
          <w:highlight w:val="none"/>
        </w:rPr>
      </w:pPr>
    </w:p>
    <w:p w14:paraId="10AE8EE5">
      <w:pPr>
        <w:spacing w:before="162" w:beforeLines="50" w:after="162" w:afterLines="50"/>
        <w:jc w:val="center"/>
        <w:rPr>
          <w:rFonts w:ascii="宋体"/>
          <w:b/>
          <w:bCs/>
          <w:color w:val="auto"/>
          <w:sz w:val="32"/>
          <w:szCs w:val="32"/>
          <w:highlight w:val="none"/>
        </w:rPr>
      </w:pPr>
    </w:p>
    <w:p w14:paraId="13AC9AAC">
      <w:pPr>
        <w:spacing w:before="162" w:beforeLines="50" w:after="162" w:afterLines="50"/>
        <w:jc w:val="center"/>
        <w:rPr>
          <w:rFonts w:ascii="宋体"/>
          <w:b/>
          <w:bCs/>
          <w:color w:val="auto"/>
          <w:sz w:val="32"/>
          <w:szCs w:val="32"/>
          <w:highlight w:val="none"/>
        </w:rPr>
      </w:pPr>
      <w:r>
        <w:rPr>
          <w:rFonts w:hint="eastAsia" w:ascii="宋体"/>
          <w:b/>
          <w:bCs/>
          <w:color w:val="auto"/>
          <w:sz w:val="32"/>
          <w:szCs w:val="32"/>
          <w:highlight w:val="none"/>
        </w:rPr>
        <w:t>目  录</w:t>
      </w:r>
    </w:p>
    <w:p w14:paraId="5FB663CB">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（1）开标一览表（格式见附件）；</w:t>
      </w:r>
    </w:p>
    <w:p w14:paraId="731F3C22">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（2）投标函（格式见附件）；</w:t>
      </w:r>
    </w:p>
    <w:p w14:paraId="7D260E3E">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（3）分项报价表（格式见附件）；</w:t>
      </w:r>
    </w:p>
    <w:p w14:paraId="1052D8F1">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（4）商务标中要求提供的相关资料和商务标评分细则中需要提供的相关资料；</w:t>
      </w:r>
    </w:p>
    <w:p w14:paraId="5559614D">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以上材料须按顺序装订，须加盖供应商公章。供应商所提交的商务标文件的完整与否，直接影响供应商的评审。</w:t>
      </w:r>
    </w:p>
    <w:p w14:paraId="60F6B950">
      <w:pPr>
        <w:rPr>
          <w:color w:val="auto"/>
          <w:highlight w:val="none"/>
        </w:rPr>
      </w:pPr>
    </w:p>
    <w:p w14:paraId="743012F1">
      <w:pPr>
        <w:pStyle w:val="25"/>
        <w:ind w:firstLine="560"/>
        <w:rPr>
          <w:color w:val="auto"/>
          <w:highlight w:val="none"/>
        </w:rPr>
      </w:pPr>
    </w:p>
    <w:p w14:paraId="7353A26E">
      <w:pPr>
        <w:rPr>
          <w:color w:val="auto"/>
          <w:highlight w:val="none"/>
        </w:rPr>
      </w:pPr>
    </w:p>
    <w:p w14:paraId="6A8B51F7">
      <w:pPr>
        <w:pStyle w:val="25"/>
        <w:ind w:firstLine="560"/>
        <w:rPr>
          <w:color w:val="auto"/>
          <w:highlight w:val="none"/>
        </w:rPr>
      </w:pPr>
    </w:p>
    <w:p w14:paraId="7DD4623E">
      <w:pPr>
        <w:rPr>
          <w:color w:val="auto"/>
          <w:highlight w:val="none"/>
        </w:rPr>
      </w:pPr>
    </w:p>
    <w:p w14:paraId="57C9EBD8">
      <w:pPr>
        <w:pStyle w:val="3"/>
        <w:rPr>
          <w:color w:val="auto"/>
          <w:highlight w:val="none"/>
        </w:rPr>
      </w:pPr>
    </w:p>
    <w:p w14:paraId="7869991A">
      <w:pPr>
        <w:rPr>
          <w:color w:val="auto"/>
          <w:highlight w:val="none"/>
        </w:rPr>
      </w:pPr>
    </w:p>
    <w:p w14:paraId="06238045">
      <w:pPr>
        <w:pStyle w:val="3"/>
        <w:rPr>
          <w:color w:val="auto"/>
          <w:highlight w:val="none"/>
        </w:rPr>
      </w:pPr>
    </w:p>
    <w:p w14:paraId="1AFC9A6E">
      <w:pPr>
        <w:rPr>
          <w:color w:val="auto"/>
          <w:highlight w:val="none"/>
        </w:rPr>
      </w:pPr>
    </w:p>
    <w:p w14:paraId="67BD2CC0">
      <w:pPr>
        <w:pStyle w:val="3"/>
        <w:rPr>
          <w:color w:val="auto"/>
          <w:highlight w:val="none"/>
        </w:rPr>
      </w:pPr>
    </w:p>
    <w:p w14:paraId="5F6AA3D4">
      <w:pPr>
        <w:rPr>
          <w:color w:val="auto"/>
          <w:highlight w:val="none"/>
        </w:rPr>
      </w:pPr>
    </w:p>
    <w:p w14:paraId="191BF34E">
      <w:pPr>
        <w:pStyle w:val="3"/>
        <w:rPr>
          <w:color w:val="auto"/>
          <w:highlight w:val="none"/>
        </w:rPr>
      </w:pPr>
    </w:p>
    <w:p w14:paraId="6051B167">
      <w:pPr>
        <w:rPr>
          <w:color w:val="auto"/>
          <w:highlight w:val="none"/>
        </w:rPr>
      </w:pPr>
    </w:p>
    <w:p w14:paraId="390FB3DB">
      <w:pPr>
        <w:rPr>
          <w:color w:val="auto"/>
          <w:highlight w:val="none"/>
        </w:rPr>
      </w:pPr>
    </w:p>
    <w:p w14:paraId="2A73A091">
      <w:pPr>
        <w:pStyle w:val="25"/>
        <w:ind w:firstLine="560"/>
        <w:rPr>
          <w:color w:val="auto"/>
          <w:highlight w:val="none"/>
        </w:rPr>
      </w:pPr>
    </w:p>
    <w:p w14:paraId="30E3A382">
      <w:pPr>
        <w:pStyle w:val="25"/>
        <w:ind w:firstLine="560"/>
        <w:rPr>
          <w:color w:val="auto"/>
          <w:highlight w:val="none"/>
        </w:rPr>
      </w:pPr>
    </w:p>
    <w:p w14:paraId="28047AFC">
      <w:pPr>
        <w:pStyle w:val="25"/>
        <w:ind w:firstLine="560"/>
        <w:rPr>
          <w:color w:val="auto"/>
          <w:highlight w:val="none"/>
        </w:rPr>
      </w:pPr>
    </w:p>
    <w:p w14:paraId="4EEED755">
      <w:pPr>
        <w:pStyle w:val="20"/>
        <w:ind w:left="420" w:hanging="420"/>
        <w:rPr>
          <w:color w:val="auto"/>
          <w:highlight w:val="none"/>
        </w:rPr>
      </w:pPr>
    </w:p>
    <w:p w14:paraId="3BC7C427">
      <w:pPr>
        <w:pageBreakBefore/>
        <w:widowControl/>
        <w:spacing w:line="360" w:lineRule="exact"/>
        <w:jc w:val="center"/>
        <w:textAlignment w:val="baseline"/>
        <w:rPr>
          <w:rFonts w:ascii="宋体"/>
          <w:b/>
          <w:color w:val="auto"/>
          <w:kern w:val="0"/>
          <w:sz w:val="32"/>
          <w:szCs w:val="32"/>
          <w:highlight w:val="none"/>
          <w:u w:color="000000"/>
        </w:rPr>
      </w:pPr>
      <w:r>
        <w:rPr>
          <w:rFonts w:hint="eastAsia" w:ascii="宋体"/>
          <w:b/>
          <w:color w:val="auto"/>
          <w:kern w:val="0"/>
          <w:sz w:val="32"/>
          <w:szCs w:val="32"/>
          <w:highlight w:val="none"/>
          <w:u w:color="000000"/>
        </w:rPr>
        <w:t>开标一览表</w:t>
      </w:r>
    </w:p>
    <w:p w14:paraId="79BCD1B3">
      <w:pPr>
        <w:snapToGrid w:val="0"/>
        <w:spacing w:line="460" w:lineRule="exact"/>
        <w:textAlignment w:val="baseline"/>
        <w:rPr>
          <w:rFonts w:ascii="宋体"/>
          <w:color w:val="auto"/>
          <w:kern w:val="0"/>
          <w:sz w:val="24"/>
          <w:highlight w:val="none"/>
          <w:u w:color="000000"/>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7836"/>
      </w:tblGrid>
      <w:tr w14:paraId="786F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3" w:hRule="exact"/>
          <w:jc w:val="center"/>
        </w:trPr>
        <w:tc>
          <w:tcPr>
            <w:tcW w:w="1812" w:type="dxa"/>
            <w:vAlign w:val="center"/>
          </w:tcPr>
          <w:p w14:paraId="5BC5AF72">
            <w:pPr>
              <w:widowControl/>
              <w:spacing w:line="460" w:lineRule="exact"/>
              <w:jc w:val="center"/>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项目名称</w:t>
            </w:r>
          </w:p>
        </w:tc>
        <w:tc>
          <w:tcPr>
            <w:tcW w:w="7836" w:type="dxa"/>
            <w:vAlign w:val="center"/>
          </w:tcPr>
          <w:p w14:paraId="49E88626">
            <w:pPr>
              <w:widowControl/>
              <w:spacing w:line="360" w:lineRule="auto"/>
              <w:jc w:val="center"/>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lang w:eastAsia="zh-CN"/>
              </w:rPr>
              <w:t>滁州学院2025年人工智能学院行政办公家具采购项目</w:t>
            </w:r>
            <w:r>
              <w:rPr>
                <w:rFonts w:hint="eastAsia" w:ascii="宋体" w:hAnsi="宋体" w:cs="宋体"/>
                <w:color w:val="auto"/>
                <w:kern w:val="0"/>
                <w:sz w:val="24"/>
                <w:highlight w:val="none"/>
                <w:u w:color="000000"/>
              </w:rPr>
              <w:t xml:space="preserve">    </w:t>
            </w:r>
          </w:p>
        </w:tc>
      </w:tr>
      <w:tr w14:paraId="5CDD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exact"/>
          <w:jc w:val="center"/>
        </w:trPr>
        <w:tc>
          <w:tcPr>
            <w:tcW w:w="1812" w:type="dxa"/>
            <w:vAlign w:val="center"/>
          </w:tcPr>
          <w:p w14:paraId="5F595139">
            <w:pPr>
              <w:widowControl/>
              <w:spacing w:line="460" w:lineRule="exact"/>
              <w:jc w:val="center"/>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项目编号</w:t>
            </w:r>
          </w:p>
        </w:tc>
        <w:tc>
          <w:tcPr>
            <w:tcW w:w="7836" w:type="dxa"/>
            <w:vAlign w:val="center"/>
          </w:tcPr>
          <w:p w14:paraId="008DD97E">
            <w:pPr>
              <w:widowControl/>
              <w:spacing w:line="357" w:lineRule="atLeast"/>
              <w:jc w:val="center"/>
              <w:textAlignment w:val="baseline"/>
              <w:rPr>
                <w:rFonts w:hint="eastAsia" w:ascii="宋体" w:hAnsi="宋体" w:eastAsia="宋体" w:cs="宋体"/>
                <w:color w:val="auto"/>
                <w:kern w:val="0"/>
                <w:sz w:val="24"/>
                <w:highlight w:val="none"/>
                <w:u w:color="000000"/>
                <w:lang w:val="en-US" w:eastAsia="zh-CN"/>
              </w:rPr>
            </w:pPr>
            <w:r>
              <w:rPr>
                <w:rFonts w:hint="eastAsia" w:ascii="宋体" w:hAnsi="宋体" w:cs="宋体"/>
                <w:color w:val="auto"/>
                <w:kern w:val="0"/>
                <w:sz w:val="24"/>
                <w:highlight w:val="none"/>
                <w:u w:color="000000"/>
                <w:lang w:eastAsia="zh-CN"/>
              </w:rPr>
              <w:t>2025CG-037</w:t>
            </w:r>
          </w:p>
        </w:tc>
      </w:tr>
      <w:tr w14:paraId="7B3C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9" w:hRule="exact"/>
          <w:jc w:val="center"/>
        </w:trPr>
        <w:tc>
          <w:tcPr>
            <w:tcW w:w="1812" w:type="dxa"/>
            <w:vAlign w:val="center"/>
          </w:tcPr>
          <w:p w14:paraId="357E4835">
            <w:pPr>
              <w:widowControl/>
              <w:spacing w:line="460" w:lineRule="exact"/>
              <w:jc w:val="center"/>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投标供应商名称</w:t>
            </w:r>
          </w:p>
        </w:tc>
        <w:tc>
          <w:tcPr>
            <w:tcW w:w="7836" w:type="dxa"/>
          </w:tcPr>
          <w:p w14:paraId="48A4F44B">
            <w:pPr>
              <w:spacing w:line="460" w:lineRule="exact"/>
              <w:ind w:left="86" w:leftChars="41"/>
              <w:jc w:val="center"/>
              <w:rPr>
                <w:rFonts w:ascii="宋体" w:hAnsi="宋体" w:cs="宋体"/>
                <w:color w:val="auto"/>
                <w:sz w:val="24"/>
                <w:highlight w:val="none"/>
                <w:u w:color="000000"/>
              </w:rPr>
            </w:pPr>
          </w:p>
        </w:tc>
      </w:tr>
      <w:tr w14:paraId="5218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5" w:hRule="exact"/>
          <w:jc w:val="center"/>
        </w:trPr>
        <w:tc>
          <w:tcPr>
            <w:tcW w:w="1812" w:type="dxa"/>
            <w:vAlign w:val="center"/>
          </w:tcPr>
          <w:p w14:paraId="621EC0F7">
            <w:pPr>
              <w:widowControl/>
              <w:spacing w:line="360" w:lineRule="auto"/>
              <w:jc w:val="center"/>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总投标价\供货期限</w:t>
            </w:r>
          </w:p>
        </w:tc>
        <w:tc>
          <w:tcPr>
            <w:tcW w:w="7836" w:type="dxa"/>
            <w:vAlign w:val="center"/>
          </w:tcPr>
          <w:p w14:paraId="50DDBE63">
            <w:pPr>
              <w:widowControl/>
              <w:spacing w:line="360" w:lineRule="auto"/>
              <w:textAlignment w:val="baseline"/>
              <w:rPr>
                <w:rFonts w:ascii="宋体" w:hAnsi="宋体" w:cs="宋体"/>
                <w:color w:val="auto"/>
                <w:kern w:val="0"/>
                <w:sz w:val="24"/>
                <w:highlight w:val="none"/>
              </w:rPr>
            </w:pPr>
            <w:r>
              <w:rPr>
                <w:rFonts w:hint="eastAsia" w:ascii="宋体" w:hAnsi="宋体" w:cs="宋体"/>
                <w:color w:val="auto"/>
                <w:kern w:val="0"/>
                <w:sz w:val="24"/>
                <w:highlight w:val="none"/>
                <w:u w:color="000000"/>
              </w:rPr>
              <w:t>总投标价 （大写）：</w:t>
            </w:r>
            <w:r>
              <w:rPr>
                <w:rFonts w:hint="eastAsia" w:ascii="宋体" w:hAnsi="宋体" w:cs="宋体"/>
                <w:color w:val="auto"/>
                <w:kern w:val="0"/>
                <w:sz w:val="24"/>
                <w:highlight w:val="none"/>
                <w:u w:val="single" w:color="000000"/>
              </w:rPr>
              <w:t xml:space="preserve">                     </w:t>
            </w:r>
            <w:r>
              <w:rPr>
                <w:rFonts w:hint="eastAsia" w:ascii="宋体" w:hAnsi="宋体" w:cs="宋体"/>
                <w:color w:val="auto"/>
                <w:kern w:val="0"/>
                <w:sz w:val="24"/>
                <w:highlight w:val="none"/>
              </w:rPr>
              <w:t xml:space="preserve">元 </w:t>
            </w:r>
          </w:p>
          <w:p w14:paraId="65DDC310">
            <w:pPr>
              <w:widowControl/>
              <w:spacing w:line="360" w:lineRule="auto"/>
              <w:ind w:firstLine="1080" w:firstLineChars="450"/>
              <w:textAlignment w:val="baseline"/>
              <w:rPr>
                <w:rFonts w:ascii="宋体" w:hAnsi="宋体" w:cs="宋体"/>
                <w:color w:val="auto"/>
                <w:kern w:val="0"/>
                <w:sz w:val="24"/>
                <w:highlight w:val="none"/>
              </w:rPr>
            </w:pPr>
            <w:r>
              <w:rPr>
                <w:rFonts w:hint="eastAsia" w:ascii="宋体" w:hAnsi="宋体" w:cs="宋体"/>
                <w:color w:val="auto"/>
                <w:kern w:val="0"/>
                <w:sz w:val="24"/>
                <w:highlight w:val="none"/>
                <w:u w:color="000000"/>
              </w:rPr>
              <w:t xml:space="preserve"> （小写） ：</w:t>
            </w:r>
            <w:r>
              <w:rPr>
                <w:rFonts w:hint="eastAsia" w:ascii="宋体" w:hAnsi="宋体" w:cs="宋体"/>
                <w:color w:val="auto"/>
                <w:kern w:val="0"/>
                <w:sz w:val="24"/>
                <w:highlight w:val="none"/>
                <w:u w:val="single" w:color="000000"/>
              </w:rPr>
              <w:t xml:space="preserve">                    </w:t>
            </w:r>
            <w:r>
              <w:rPr>
                <w:rFonts w:hint="eastAsia" w:ascii="宋体" w:hAnsi="宋体" w:cs="宋体"/>
                <w:color w:val="auto"/>
                <w:kern w:val="0"/>
                <w:sz w:val="24"/>
                <w:highlight w:val="none"/>
              </w:rPr>
              <w:t xml:space="preserve">元 </w:t>
            </w:r>
          </w:p>
          <w:p w14:paraId="07913A9F">
            <w:pPr>
              <w:widowControl/>
              <w:spacing w:line="360" w:lineRule="auto"/>
              <w:textAlignment w:val="baseline"/>
              <w:rPr>
                <w:rFonts w:ascii="宋体" w:hAnsi="宋体" w:cs="宋体"/>
                <w:color w:val="auto"/>
                <w:kern w:val="0"/>
                <w:sz w:val="24"/>
                <w:highlight w:val="none"/>
                <w:u w:color="000000"/>
              </w:rPr>
            </w:pPr>
          </w:p>
          <w:p w14:paraId="69829843">
            <w:pPr>
              <w:widowControl/>
              <w:spacing w:line="360" w:lineRule="auto"/>
              <w:textAlignment w:val="baseline"/>
              <w:rPr>
                <w:rFonts w:ascii="宋体" w:hAnsi="宋体" w:cs="宋体"/>
                <w:color w:val="auto"/>
                <w:kern w:val="0"/>
                <w:sz w:val="24"/>
                <w:highlight w:val="none"/>
                <w:u w:color="000000"/>
              </w:rPr>
            </w:pPr>
            <w:r>
              <w:rPr>
                <w:rFonts w:hint="eastAsia" w:ascii="宋体" w:hAnsi="宋体" w:cs="宋体"/>
                <w:color w:val="auto"/>
                <w:kern w:val="0"/>
                <w:sz w:val="24"/>
                <w:highlight w:val="none"/>
                <w:u w:color="000000"/>
              </w:rPr>
              <w:t>供货期限：         。</w:t>
            </w:r>
          </w:p>
        </w:tc>
      </w:tr>
    </w:tbl>
    <w:p w14:paraId="04708632">
      <w:pPr>
        <w:snapToGrid w:val="0"/>
        <w:spacing w:line="460" w:lineRule="exact"/>
        <w:ind w:left="2940" w:leftChars="1400" w:firstLine="723" w:firstLineChars="300"/>
        <w:textAlignment w:val="baseline"/>
        <w:rPr>
          <w:rFonts w:ascii="宋体"/>
          <w:b/>
          <w:color w:val="auto"/>
          <w:kern w:val="0"/>
          <w:sz w:val="24"/>
          <w:highlight w:val="none"/>
          <w:u w:color="000000"/>
        </w:rPr>
      </w:pPr>
    </w:p>
    <w:p w14:paraId="6BD8CF27">
      <w:pPr>
        <w:snapToGrid w:val="0"/>
        <w:spacing w:line="460" w:lineRule="exact"/>
        <w:ind w:left="2940" w:leftChars="1400" w:firstLine="723" w:firstLineChars="300"/>
        <w:textAlignment w:val="baseline"/>
        <w:rPr>
          <w:rFonts w:ascii="宋体"/>
          <w:b/>
          <w:color w:val="auto"/>
          <w:kern w:val="0"/>
          <w:sz w:val="24"/>
          <w:highlight w:val="none"/>
          <w:u w:color="000000"/>
        </w:rPr>
      </w:pPr>
    </w:p>
    <w:p w14:paraId="779004B3">
      <w:pPr>
        <w:snapToGrid w:val="0"/>
        <w:spacing w:line="460" w:lineRule="exact"/>
        <w:ind w:left="2940" w:leftChars="1400" w:firstLine="723" w:firstLineChars="300"/>
        <w:textAlignment w:val="baseline"/>
        <w:rPr>
          <w:rFonts w:ascii="宋体"/>
          <w:b/>
          <w:color w:val="auto"/>
          <w:kern w:val="0"/>
          <w:sz w:val="24"/>
          <w:highlight w:val="none"/>
          <w:u w:color="000000"/>
        </w:rPr>
      </w:pPr>
    </w:p>
    <w:p w14:paraId="6B1138D7">
      <w:pPr>
        <w:widowControl/>
        <w:spacing w:line="357" w:lineRule="atLeast"/>
        <w:textAlignment w:val="baseline"/>
        <w:rPr>
          <w:rFonts w:ascii="宋体"/>
          <w:color w:val="auto"/>
          <w:kern w:val="0"/>
          <w:sz w:val="24"/>
          <w:highlight w:val="none"/>
          <w:u w:color="000000"/>
        </w:rPr>
      </w:pPr>
      <w:r>
        <w:rPr>
          <w:rFonts w:hint="eastAsia" w:ascii="宋体"/>
          <w:color w:val="auto"/>
          <w:kern w:val="0"/>
          <w:sz w:val="24"/>
          <w:highlight w:val="none"/>
          <w:u w:color="000000"/>
        </w:rPr>
        <w:t>法定代表人或委托代理人（签字或盖章）：</w:t>
      </w:r>
    </w:p>
    <w:p w14:paraId="0EBE8D04">
      <w:pPr>
        <w:widowControl/>
        <w:spacing w:line="357" w:lineRule="atLeast"/>
        <w:textAlignment w:val="baseline"/>
        <w:rPr>
          <w:rFonts w:ascii="宋体"/>
          <w:color w:val="auto"/>
          <w:kern w:val="0"/>
          <w:sz w:val="24"/>
          <w:highlight w:val="none"/>
          <w:u w:color="000000"/>
        </w:rPr>
      </w:pPr>
      <w:r>
        <w:rPr>
          <w:rFonts w:hint="eastAsia" w:ascii="宋体"/>
          <w:color w:val="auto"/>
          <w:kern w:val="0"/>
          <w:sz w:val="24"/>
          <w:highlight w:val="none"/>
          <w:u w:color="000000"/>
        </w:rPr>
        <w:t xml:space="preserve">                    </w:t>
      </w:r>
    </w:p>
    <w:p w14:paraId="3F347E23">
      <w:pPr>
        <w:widowControl/>
        <w:spacing w:line="357" w:lineRule="atLeast"/>
        <w:textAlignment w:val="baseline"/>
        <w:rPr>
          <w:rFonts w:ascii="宋体"/>
          <w:color w:val="auto"/>
          <w:kern w:val="0"/>
          <w:sz w:val="24"/>
          <w:highlight w:val="none"/>
          <w:u w:color="000000"/>
        </w:rPr>
      </w:pPr>
      <w:r>
        <w:rPr>
          <w:rFonts w:hint="eastAsia" w:ascii="宋体"/>
          <w:color w:val="auto"/>
          <w:kern w:val="0"/>
          <w:sz w:val="24"/>
          <w:highlight w:val="none"/>
          <w:u w:color="000000"/>
        </w:rPr>
        <w:t>投标供应商（盖单位章）：</w:t>
      </w:r>
    </w:p>
    <w:p w14:paraId="5BD7DA95">
      <w:pPr>
        <w:widowControl/>
        <w:spacing w:line="357" w:lineRule="atLeast"/>
        <w:textAlignment w:val="baseline"/>
        <w:rPr>
          <w:rFonts w:ascii="宋体"/>
          <w:color w:val="auto"/>
          <w:kern w:val="0"/>
          <w:sz w:val="24"/>
          <w:highlight w:val="none"/>
          <w:u w:color="000000"/>
        </w:rPr>
      </w:pPr>
      <w:r>
        <w:rPr>
          <w:rFonts w:hint="eastAsia" w:ascii="宋体"/>
          <w:color w:val="auto"/>
          <w:kern w:val="0"/>
          <w:sz w:val="24"/>
          <w:highlight w:val="none"/>
          <w:u w:color="000000"/>
        </w:rPr>
        <w:t xml:space="preserve">                               </w:t>
      </w:r>
    </w:p>
    <w:p w14:paraId="02E9661E">
      <w:pPr>
        <w:snapToGrid w:val="0"/>
        <w:spacing w:before="324" w:beforeLines="100" w:after="324" w:afterLines="100" w:line="360" w:lineRule="auto"/>
        <w:jc w:val="center"/>
        <w:textAlignment w:val="baseline"/>
        <w:rPr>
          <w:rFonts w:ascii="宋体"/>
          <w:color w:val="auto"/>
          <w:kern w:val="0"/>
          <w:sz w:val="24"/>
          <w:highlight w:val="none"/>
          <w:u w:color="000000"/>
        </w:rPr>
      </w:pPr>
      <w:r>
        <w:rPr>
          <w:rFonts w:hint="eastAsia" w:ascii="宋体"/>
          <w:color w:val="auto"/>
          <w:kern w:val="0"/>
          <w:sz w:val="24"/>
          <w:highlight w:val="none"/>
          <w:u w:color="000000"/>
        </w:rPr>
        <w:t xml:space="preserve">                                           日  期：    年  月  日 </w:t>
      </w:r>
    </w:p>
    <w:p w14:paraId="4EFF3429">
      <w:pPr>
        <w:rPr>
          <w:color w:val="auto"/>
          <w:highlight w:val="none"/>
        </w:rPr>
      </w:pPr>
    </w:p>
    <w:p w14:paraId="2F80E9A1">
      <w:pPr>
        <w:rPr>
          <w:color w:val="auto"/>
          <w:highlight w:val="none"/>
        </w:rPr>
      </w:pPr>
    </w:p>
    <w:p w14:paraId="7F8FA312">
      <w:pPr>
        <w:pStyle w:val="8"/>
        <w:rPr>
          <w:color w:val="auto"/>
          <w:highlight w:val="none"/>
        </w:rPr>
      </w:pPr>
    </w:p>
    <w:p w14:paraId="446FE4B9">
      <w:pPr>
        <w:pStyle w:val="25"/>
        <w:ind w:firstLine="0" w:firstLineChars="0"/>
        <w:jc w:val="center"/>
        <w:rPr>
          <w:rFonts w:hAnsi="宋体" w:cs="宋体"/>
          <w:color w:val="auto"/>
          <w:sz w:val="24"/>
          <w:highlight w:val="none"/>
        </w:rPr>
      </w:pPr>
      <w:r>
        <w:rPr>
          <w:rFonts w:hint="eastAsia"/>
          <w:b/>
          <w:bCs/>
          <w:color w:val="auto"/>
          <w:highlight w:val="none"/>
        </w:rPr>
        <w:t>投  标  函</w:t>
      </w:r>
    </w:p>
    <w:p w14:paraId="13A6585D">
      <w:pPr>
        <w:spacing w:line="440" w:lineRule="exact"/>
        <w:rPr>
          <w:rFonts w:ascii="宋体" w:hAnsi="宋体" w:cs="宋体"/>
          <w:color w:val="auto"/>
          <w:sz w:val="24"/>
          <w:highlight w:val="none"/>
          <w:u w:val="singl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（采购人）</w:t>
      </w:r>
    </w:p>
    <w:p w14:paraId="6F98A260">
      <w:pPr>
        <w:tabs>
          <w:tab w:val="left" w:pos="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1、我公司决定参加贵单位组织的</w:t>
      </w:r>
      <w:r>
        <w:rPr>
          <w:rFonts w:hint="eastAsia" w:ascii="宋体" w:hAnsi="宋体" w:cs="宋体"/>
          <w:color w:val="auto"/>
          <w:sz w:val="24"/>
          <w:highlight w:val="none"/>
          <w:u w:val="single"/>
        </w:rPr>
        <w:t>“                     （项目名称）</w:t>
      </w:r>
      <w:r>
        <w:rPr>
          <w:rFonts w:hint="eastAsia" w:ascii="宋体" w:hAnsi="宋体" w:cs="宋体"/>
          <w:color w:val="auto"/>
          <w:sz w:val="24"/>
          <w:highlight w:val="none"/>
        </w:rPr>
        <w:t>”的采购。我方授权</w:t>
      </w:r>
      <w:r>
        <w:rPr>
          <w:rFonts w:hint="eastAsia" w:ascii="宋体" w:hAnsi="宋体" w:cs="宋体"/>
          <w:color w:val="auto"/>
          <w:sz w:val="24"/>
          <w:highlight w:val="none"/>
          <w:u w:val="single"/>
        </w:rPr>
        <w:t xml:space="preserve">             （姓名和职务）</w:t>
      </w:r>
      <w:r>
        <w:rPr>
          <w:rFonts w:hint="eastAsia" w:ascii="宋体" w:hAnsi="宋体" w:cs="宋体"/>
          <w:color w:val="auto"/>
          <w:sz w:val="24"/>
          <w:highlight w:val="none"/>
        </w:rPr>
        <w:t>代表我方</w:t>
      </w:r>
      <w:r>
        <w:rPr>
          <w:rFonts w:hint="eastAsia" w:ascii="宋体" w:hAnsi="宋体" w:cs="宋体"/>
          <w:color w:val="auto"/>
          <w:sz w:val="24"/>
          <w:highlight w:val="none"/>
          <w:u w:val="single"/>
        </w:rPr>
        <w:t xml:space="preserve">             （投标供应商的名称）</w:t>
      </w:r>
      <w:r>
        <w:rPr>
          <w:rFonts w:hint="eastAsia" w:ascii="宋体" w:hAnsi="宋体" w:cs="宋体"/>
          <w:color w:val="auto"/>
          <w:sz w:val="24"/>
          <w:highlight w:val="none"/>
        </w:rPr>
        <w:t>全权处理本项目投标的有关事宜。</w:t>
      </w:r>
    </w:p>
    <w:p w14:paraId="4D9A3EBA">
      <w:pPr>
        <w:tabs>
          <w:tab w:val="left" w:pos="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2、我方愿意按照采购文件规定的各项要求，向采购人提供本项目的货物与服务，总投标价为人民币（大写）</w:t>
      </w:r>
      <w:r>
        <w:rPr>
          <w:rFonts w:hint="eastAsia" w:ascii="宋体" w:hAnsi="宋体" w:cs="宋体"/>
          <w:color w:val="auto"/>
          <w:sz w:val="24"/>
          <w:highlight w:val="none"/>
          <w:u w:val="single"/>
        </w:rPr>
        <w:t xml:space="preserve">                   （小写）                  元 。</w:t>
      </w:r>
    </w:p>
    <w:p w14:paraId="3165372B">
      <w:pPr>
        <w:tabs>
          <w:tab w:val="left" w:pos="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3、一旦我方成为合同签字人，我方将严格履行合同规定的责任和义务。</w:t>
      </w:r>
    </w:p>
    <w:p w14:paraId="13023F0C">
      <w:pPr>
        <w:tabs>
          <w:tab w:val="left" w:pos="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4、我方同意按照采购文件的要求，递交金额为人民币</w:t>
      </w:r>
      <w:r>
        <w:rPr>
          <w:rFonts w:hint="eastAsia" w:ascii="宋体" w:hAnsi="宋体" w:cs="宋体"/>
          <w:color w:val="auto"/>
          <w:sz w:val="24"/>
          <w:highlight w:val="none"/>
          <w:u w:val="single"/>
        </w:rPr>
        <w:t xml:space="preserve">        （大写）</w:t>
      </w:r>
      <w:r>
        <w:rPr>
          <w:rFonts w:hint="eastAsia" w:ascii="宋体" w:hAnsi="宋体" w:cs="宋体"/>
          <w:color w:val="auto"/>
          <w:sz w:val="24"/>
          <w:highlight w:val="none"/>
        </w:rPr>
        <w:t>的采购投标保证金。并且承诺，在采购有效期内如果我方撤回采购投标书或成为合同签字人后拒绝签订合同，我方将放弃要求退还该保证金的权力。</w:t>
      </w:r>
    </w:p>
    <w:p w14:paraId="58395B57">
      <w:pPr>
        <w:tabs>
          <w:tab w:val="left" w:pos="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5、一旦我方中标，为本项目提交的投标书一式三份，其中正本一份、副本</w:t>
      </w:r>
      <w:r>
        <w:rPr>
          <w:rFonts w:hint="eastAsia" w:ascii="宋体" w:hAnsi="宋体" w:cs="宋体"/>
          <w:color w:val="auto"/>
          <w:sz w:val="24"/>
          <w:highlight w:val="none"/>
          <w:lang w:val="en-US" w:eastAsia="zh-CN"/>
        </w:rPr>
        <w:t>二</w:t>
      </w:r>
      <w:r>
        <w:rPr>
          <w:rFonts w:hint="eastAsia" w:ascii="宋体" w:hAnsi="宋体" w:cs="宋体"/>
          <w:color w:val="auto"/>
          <w:sz w:val="24"/>
          <w:highlight w:val="none"/>
        </w:rPr>
        <w:t>份。</w:t>
      </w:r>
    </w:p>
    <w:p w14:paraId="2B720A59">
      <w:pPr>
        <w:tabs>
          <w:tab w:val="left" w:pos="0"/>
        </w:tabs>
        <w:spacing w:line="560" w:lineRule="exact"/>
        <w:ind w:firstLine="480" w:firstLineChars="200"/>
        <w:rPr>
          <w:color w:val="auto"/>
          <w:sz w:val="24"/>
          <w:highlight w:val="none"/>
        </w:rPr>
      </w:pPr>
      <w:r>
        <w:rPr>
          <w:rFonts w:hint="eastAsia" w:ascii="宋体" w:hAnsi="宋体" w:cs="宋体"/>
          <w:color w:val="auto"/>
          <w:sz w:val="24"/>
          <w:highlight w:val="none"/>
        </w:rPr>
        <w:t>6、我方愿意提供可能另外要求的、与采购投标有关的文件资料，并保证我方已提供和将要提供的文件是真实的、准</w:t>
      </w:r>
      <w:r>
        <w:rPr>
          <w:rFonts w:hint="eastAsia"/>
          <w:color w:val="auto"/>
          <w:sz w:val="24"/>
          <w:highlight w:val="none"/>
        </w:rPr>
        <w:t>确的。</w:t>
      </w:r>
    </w:p>
    <w:p w14:paraId="5103C7D5">
      <w:pPr>
        <w:spacing w:line="440" w:lineRule="exact"/>
        <w:rPr>
          <w:rFonts w:ascii="宋体" w:hAnsi="宋体" w:cs="宋体"/>
          <w:color w:val="auto"/>
          <w:sz w:val="24"/>
          <w:highlight w:val="none"/>
        </w:rPr>
      </w:pPr>
      <w:r>
        <w:rPr>
          <w:rFonts w:hint="eastAsia" w:ascii="宋体" w:hAnsi="宋体" w:cs="宋体"/>
          <w:color w:val="auto"/>
          <w:sz w:val="24"/>
          <w:highlight w:val="none"/>
        </w:rPr>
        <w:t> </w:t>
      </w:r>
    </w:p>
    <w:p w14:paraId="19160582">
      <w:pPr>
        <w:spacing w:line="440" w:lineRule="exact"/>
        <w:rPr>
          <w:rFonts w:ascii="宋体" w:hAnsi="宋体" w:cs="宋体"/>
          <w:color w:val="auto"/>
          <w:sz w:val="24"/>
          <w:highlight w:val="none"/>
        </w:rPr>
      </w:pPr>
    </w:p>
    <w:p w14:paraId="7CDDF881">
      <w:pPr>
        <w:pStyle w:val="23"/>
        <w:wordWrap w:val="0"/>
        <w:spacing w:line="560" w:lineRule="exact"/>
        <w:ind w:firstLine="480"/>
        <w:rPr>
          <w:color w:val="auto"/>
          <w:kern w:val="2"/>
          <w:sz w:val="24"/>
          <w:szCs w:val="24"/>
          <w:highlight w:val="none"/>
        </w:rPr>
      </w:pPr>
      <w:r>
        <w:rPr>
          <w:rFonts w:hint="eastAsia"/>
          <w:color w:val="auto"/>
          <w:kern w:val="2"/>
          <w:sz w:val="24"/>
          <w:szCs w:val="24"/>
          <w:highlight w:val="none"/>
        </w:rPr>
        <w:t xml:space="preserve">投标供应商名称：（公章） </w:t>
      </w:r>
    </w:p>
    <w:p w14:paraId="6A937A7A">
      <w:pPr>
        <w:pStyle w:val="23"/>
        <w:wordWrap w:val="0"/>
        <w:spacing w:line="560" w:lineRule="exact"/>
        <w:ind w:firstLine="480"/>
        <w:rPr>
          <w:color w:val="auto"/>
          <w:kern w:val="2"/>
          <w:sz w:val="24"/>
          <w:szCs w:val="24"/>
          <w:highlight w:val="none"/>
        </w:rPr>
      </w:pPr>
      <w:r>
        <w:rPr>
          <w:rFonts w:hint="eastAsia"/>
          <w:color w:val="auto"/>
          <w:kern w:val="2"/>
          <w:sz w:val="24"/>
          <w:szCs w:val="24"/>
          <w:highlight w:val="none"/>
        </w:rPr>
        <w:t>投标供应商授权代表或法定代表人（签字或盖章）：</w:t>
      </w:r>
    </w:p>
    <w:p w14:paraId="36CE7FD9">
      <w:pPr>
        <w:pStyle w:val="23"/>
        <w:wordWrap w:val="0"/>
        <w:spacing w:line="560" w:lineRule="exact"/>
        <w:ind w:firstLine="480"/>
        <w:rPr>
          <w:color w:val="auto"/>
          <w:kern w:val="2"/>
          <w:sz w:val="24"/>
          <w:szCs w:val="24"/>
          <w:highlight w:val="none"/>
        </w:rPr>
      </w:pPr>
      <w:r>
        <w:rPr>
          <w:rFonts w:hint="eastAsia"/>
          <w:color w:val="auto"/>
          <w:kern w:val="2"/>
          <w:sz w:val="24"/>
          <w:szCs w:val="24"/>
          <w:highlight w:val="none"/>
        </w:rPr>
        <w:t>日期：</w:t>
      </w:r>
    </w:p>
    <w:p w14:paraId="2B0B8665">
      <w:pPr>
        <w:pStyle w:val="23"/>
        <w:wordWrap w:val="0"/>
        <w:spacing w:line="560" w:lineRule="exact"/>
        <w:ind w:firstLine="480"/>
        <w:rPr>
          <w:color w:val="auto"/>
          <w:kern w:val="2"/>
          <w:sz w:val="24"/>
          <w:szCs w:val="24"/>
          <w:highlight w:val="none"/>
        </w:rPr>
      </w:pPr>
      <w:r>
        <w:rPr>
          <w:rFonts w:hint="eastAsia"/>
          <w:color w:val="auto"/>
          <w:kern w:val="2"/>
          <w:sz w:val="24"/>
          <w:szCs w:val="24"/>
          <w:highlight w:val="none"/>
        </w:rPr>
        <w:t>通讯地址：</w:t>
      </w:r>
    </w:p>
    <w:p w14:paraId="742F8D01">
      <w:pPr>
        <w:pStyle w:val="23"/>
        <w:wordWrap w:val="0"/>
        <w:spacing w:line="560" w:lineRule="exact"/>
        <w:ind w:firstLine="480"/>
        <w:rPr>
          <w:color w:val="auto"/>
          <w:kern w:val="2"/>
          <w:sz w:val="24"/>
          <w:szCs w:val="24"/>
          <w:highlight w:val="none"/>
        </w:rPr>
      </w:pPr>
      <w:r>
        <w:rPr>
          <w:rFonts w:hint="eastAsia"/>
          <w:color w:val="auto"/>
          <w:kern w:val="2"/>
          <w:sz w:val="24"/>
          <w:szCs w:val="24"/>
          <w:highlight w:val="none"/>
        </w:rPr>
        <w:t>电话：</w:t>
      </w:r>
    </w:p>
    <w:p w14:paraId="5F416808">
      <w:pPr>
        <w:pStyle w:val="23"/>
        <w:wordWrap w:val="0"/>
        <w:spacing w:line="560" w:lineRule="exact"/>
        <w:ind w:firstLine="480"/>
        <w:rPr>
          <w:color w:val="auto"/>
          <w:kern w:val="2"/>
          <w:sz w:val="24"/>
          <w:szCs w:val="24"/>
          <w:highlight w:val="none"/>
        </w:rPr>
      </w:pPr>
      <w:r>
        <w:rPr>
          <w:rFonts w:hint="eastAsia"/>
          <w:color w:val="auto"/>
          <w:kern w:val="2"/>
          <w:sz w:val="24"/>
          <w:szCs w:val="24"/>
          <w:highlight w:val="none"/>
        </w:rPr>
        <w:t>传真：</w:t>
      </w:r>
    </w:p>
    <w:p w14:paraId="6B40E0BB">
      <w:pPr>
        <w:rPr>
          <w:rFonts w:ascii="宋体" w:hAnsi="宋体" w:cs="宋体"/>
          <w:b/>
          <w:color w:val="auto"/>
          <w:sz w:val="24"/>
          <w:highlight w:val="none"/>
        </w:rPr>
      </w:pPr>
    </w:p>
    <w:p w14:paraId="32FA605E">
      <w:pPr>
        <w:rPr>
          <w:rFonts w:ascii="宋体" w:hAnsi="宋体" w:cs="宋体"/>
          <w:b/>
          <w:color w:val="auto"/>
          <w:sz w:val="24"/>
          <w:highlight w:val="none"/>
        </w:rPr>
      </w:pPr>
    </w:p>
    <w:p w14:paraId="4A4FC87F">
      <w:pPr>
        <w:rPr>
          <w:rFonts w:ascii="宋体" w:hAnsi="宋体" w:cs="宋体"/>
          <w:b/>
          <w:color w:val="auto"/>
          <w:sz w:val="24"/>
          <w:highlight w:val="none"/>
        </w:rPr>
      </w:pPr>
    </w:p>
    <w:p w14:paraId="11B6DDC5">
      <w:pPr>
        <w:spacing w:before="10" w:after="10" w:line="440" w:lineRule="exact"/>
        <w:jc w:val="center"/>
        <w:rPr>
          <w:rFonts w:ascii="宋体" w:hAnsi="宋体" w:cs="宋体"/>
          <w:b/>
          <w:color w:val="auto"/>
          <w:sz w:val="30"/>
          <w:szCs w:val="30"/>
          <w:highlight w:val="none"/>
        </w:rPr>
      </w:pPr>
    </w:p>
    <w:p w14:paraId="7956FF65">
      <w:pPr>
        <w:spacing w:before="10" w:after="10" w:line="440" w:lineRule="exact"/>
        <w:jc w:val="center"/>
        <w:rPr>
          <w:rFonts w:ascii="宋体" w:hAnsi="宋体" w:cs="宋体"/>
          <w:b/>
          <w:color w:val="auto"/>
          <w:sz w:val="30"/>
          <w:szCs w:val="30"/>
          <w:highlight w:val="none"/>
        </w:rPr>
      </w:pPr>
    </w:p>
    <w:p w14:paraId="2DE94D8A">
      <w:pPr>
        <w:spacing w:before="10" w:after="10" w:line="440" w:lineRule="exact"/>
        <w:jc w:val="center"/>
        <w:rPr>
          <w:rFonts w:ascii="宋体" w:hAnsi="宋体" w:cs="宋体"/>
          <w:b/>
          <w:color w:val="auto"/>
          <w:sz w:val="30"/>
          <w:szCs w:val="30"/>
          <w:highlight w:val="none"/>
        </w:rPr>
      </w:pPr>
    </w:p>
    <w:p w14:paraId="3FBAF9F2">
      <w:pPr>
        <w:spacing w:before="10" w:after="10" w:line="44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分项报价表</w:t>
      </w:r>
    </w:p>
    <w:tbl>
      <w:tblPr>
        <w:tblStyle w:val="26"/>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937"/>
        <w:gridCol w:w="1498"/>
        <w:gridCol w:w="741"/>
        <w:gridCol w:w="688"/>
        <w:gridCol w:w="1329"/>
        <w:gridCol w:w="1111"/>
      </w:tblGrid>
      <w:tr w14:paraId="1F3B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93" w:type="dxa"/>
            <w:vAlign w:val="center"/>
          </w:tcPr>
          <w:p w14:paraId="03138DA9">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序号</w:t>
            </w:r>
          </w:p>
        </w:tc>
        <w:tc>
          <w:tcPr>
            <w:tcW w:w="2937" w:type="dxa"/>
            <w:vAlign w:val="center"/>
          </w:tcPr>
          <w:p w14:paraId="202E5095">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名称</w:t>
            </w:r>
          </w:p>
        </w:tc>
        <w:tc>
          <w:tcPr>
            <w:tcW w:w="1498" w:type="dxa"/>
            <w:vAlign w:val="center"/>
          </w:tcPr>
          <w:p w14:paraId="2BD622D9">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规格、型号、品牌及参数</w:t>
            </w:r>
          </w:p>
        </w:tc>
        <w:tc>
          <w:tcPr>
            <w:tcW w:w="741" w:type="dxa"/>
            <w:vAlign w:val="center"/>
          </w:tcPr>
          <w:p w14:paraId="5103AA95">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数量</w:t>
            </w:r>
          </w:p>
        </w:tc>
        <w:tc>
          <w:tcPr>
            <w:tcW w:w="688" w:type="dxa"/>
            <w:vAlign w:val="center"/>
          </w:tcPr>
          <w:p w14:paraId="14B40879">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单位</w:t>
            </w:r>
          </w:p>
        </w:tc>
        <w:tc>
          <w:tcPr>
            <w:tcW w:w="1329" w:type="dxa"/>
            <w:vAlign w:val="center"/>
          </w:tcPr>
          <w:p w14:paraId="59B5C47A">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单价（元）</w:t>
            </w:r>
          </w:p>
        </w:tc>
        <w:tc>
          <w:tcPr>
            <w:tcW w:w="1111" w:type="dxa"/>
            <w:vAlign w:val="center"/>
          </w:tcPr>
          <w:p w14:paraId="2D3F50D7">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合价（元）</w:t>
            </w:r>
          </w:p>
        </w:tc>
      </w:tr>
      <w:tr w14:paraId="51FA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3" w:type="dxa"/>
            <w:vAlign w:val="center"/>
          </w:tcPr>
          <w:p w14:paraId="395AB428">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1</w:t>
            </w:r>
          </w:p>
        </w:tc>
        <w:tc>
          <w:tcPr>
            <w:tcW w:w="2937" w:type="dxa"/>
            <w:vAlign w:val="center"/>
          </w:tcPr>
          <w:p w14:paraId="67BE29B6">
            <w:pPr>
              <w:autoSpaceDE w:val="0"/>
              <w:autoSpaceDN w:val="0"/>
              <w:adjustRightInd w:val="0"/>
              <w:spacing w:line="440" w:lineRule="exact"/>
              <w:jc w:val="center"/>
              <w:rPr>
                <w:rFonts w:ascii="宋体" w:hAnsi="宋体" w:cs="宋体"/>
                <w:color w:val="auto"/>
                <w:szCs w:val="21"/>
                <w:highlight w:val="none"/>
              </w:rPr>
            </w:pPr>
          </w:p>
        </w:tc>
        <w:tc>
          <w:tcPr>
            <w:tcW w:w="1498" w:type="dxa"/>
            <w:vAlign w:val="center"/>
          </w:tcPr>
          <w:p w14:paraId="05531A64">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602817B0">
            <w:pPr>
              <w:autoSpaceDE w:val="0"/>
              <w:autoSpaceDN w:val="0"/>
              <w:adjustRightInd w:val="0"/>
              <w:spacing w:line="440" w:lineRule="exact"/>
              <w:jc w:val="center"/>
              <w:rPr>
                <w:rFonts w:ascii="宋体" w:hAnsi="宋体" w:cs="宋体"/>
                <w:color w:val="auto"/>
                <w:szCs w:val="21"/>
                <w:highlight w:val="none"/>
              </w:rPr>
            </w:pPr>
          </w:p>
        </w:tc>
        <w:tc>
          <w:tcPr>
            <w:tcW w:w="688" w:type="dxa"/>
            <w:vAlign w:val="center"/>
          </w:tcPr>
          <w:p w14:paraId="7D219EF7">
            <w:pPr>
              <w:spacing w:line="440" w:lineRule="exact"/>
              <w:jc w:val="center"/>
              <w:rPr>
                <w:rFonts w:ascii="宋体" w:hAnsi="宋体" w:cs="宋体"/>
                <w:color w:val="auto"/>
                <w:szCs w:val="21"/>
                <w:highlight w:val="none"/>
              </w:rPr>
            </w:pPr>
          </w:p>
        </w:tc>
        <w:tc>
          <w:tcPr>
            <w:tcW w:w="1329" w:type="dxa"/>
            <w:vAlign w:val="center"/>
          </w:tcPr>
          <w:p w14:paraId="0DDC5661">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58EA8966">
            <w:pPr>
              <w:pStyle w:val="25"/>
              <w:spacing w:line="440" w:lineRule="exact"/>
              <w:ind w:firstLine="0" w:firstLineChars="0"/>
              <w:jc w:val="center"/>
              <w:rPr>
                <w:rFonts w:hAnsi="宋体" w:cs="宋体"/>
                <w:color w:val="auto"/>
                <w:sz w:val="21"/>
                <w:szCs w:val="21"/>
                <w:highlight w:val="none"/>
              </w:rPr>
            </w:pPr>
          </w:p>
        </w:tc>
      </w:tr>
      <w:tr w14:paraId="0AB8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3" w:type="dxa"/>
            <w:vAlign w:val="center"/>
          </w:tcPr>
          <w:p w14:paraId="01E300EC">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2</w:t>
            </w:r>
          </w:p>
        </w:tc>
        <w:tc>
          <w:tcPr>
            <w:tcW w:w="2937" w:type="dxa"/>
            <w:vAlign w:val="center"/>
          </w:tcPr>
          <w:p w14:paraId="7CA7036C">
            <w:pPr>
              <w:spacing w:line="440" w:lineRule="exact"/>
              <w:jc w:val="center"/>
              <w:rPr>
                <w:rFonts w:ascii="宋体" w:hAnsi="宋体" w:cs="宋体"/>
                <w:color w:val="auto"/>
                <w:szCs w:val="21"/>
                <w:highlight w:val="none"/>
              </w:rPr>
            </w:pPr>
          </w:p>
        </w:tc>
        <w:tc>
          <w:tcPr>
            <w:tcW w:w="1498" w:type="dxa"/>
            <w:vAlign w:val="center"/>
          </w:tcPr>
          <w:p w14:paraId="2E3B2E17">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2F63E978">
            <w:pPr>
              <w:spacing w:line="440" w:lineRule="exact"/>
              <w:jc w:val="center"/>
              <w:rPr>
                <w:rFonts w:ascii="宋体" w:hAnsi="宋体" w:cs="宋体"/>
                <w:color w:val="auto"/>
                <w:szCs w:val="21"/>
                <w:highlight w:val="none"/>
              </w:rPr>
            </w:pPr>
          </w:p>
        </w:tc>
        <w:tc>
          <w:tcPr>
            <w:tcW w:w="688" w:type="dxa"/>
            <w:vAlign w:val="center"/>
          </w:tcPr>
          <w:p w14:paraId="27007484">
            <w:pPr>
              <w:spacing w:line="440" w:lineRule="exact"/>
              <w:jc w:val="center"/>
              <w:rPr>
                <w:rFonts w:ascii="宋体" w:hAnsi="宋体" w:cs="宋体"/>
                <w:color w:val="auto"/>
                <w:szCs w:val="21"/>
                <w:highlight w:val="none"/>
              </w:rPr>
            </w:pPr>
          </w:p>
        </w:tc>
        <w:tc>
          <w:tcPr>
            <w:tcW w:w="1329" w:type="dxa"/>
            <w:vAlign w:val="center"/>
          </w:tcPr>
          <w:p w14:paraId="5782B036">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4BAEF3AA">
            <w:pPr>
              <w:pStyle w:val="25"/>
              <w:spacing w:line="440" w:lineRule="exact"/>
              <w:ind w:firstLine="0" w:firstLineChars="0"/>
              <w:jc w:val="center"/>
              <w:rPr>
                <w:rFonts w:hAnsi="宋体" w:cs="宋体"/>
                <w:color w:val="auto"/>
                <w:sz w:val="21"/>
                <w:szCs w:val="21"/>
                <w:highlight w:val="none"/>
              </w:rPr>
            </w:pPr>
          </w:p>
        </w:tc>
      </w:tr>
      <w:tr w14:paraId="4C76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3" w:type="dxa"/>
            <w:vAlign w:val="center"/>
          </w:tcPr>
          <w:p w14:paraId="619A2C28">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3</w:t>
            </w:r>
          </w:p>
        </w:tc>
        <w:tc>
          <w:tcPr>
            <w:tcW w:w="2937" w:type="dxa"/>
            <w:vAlign w:val="center"/>
          </w:tcPr>
          <w:p w14:paraId="729CE0E1">
            <w:pPr>
              <w:spacing w:line="440" w:lineRule="exact"/>
              <w:jc w:val="center"/>
              <w:rPr>
                <w:rFonts w:ascii="宋体" w:hAnsi="宋体" w:cs="宋体"/>
                <w:color w:val="auto"/>
                <w:szCs w:val="21"/>
                <w:highlight w:val="none"/>
              </w:rPr>
            </w:pPr>
          </w:p>
        </w:tc>
        <w:tc>
          <w:tcPr>
            <w:tcW w:w="1498" w:type="dxa"/>
            <w:vAlign w:val="center"/>
          </w:tcPr>
          <w:p w14:paraId="076C1C97">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59918247">
            <w:pPr>
              <w:spacing w:line="440" w:lineRule="exact"/>
              <w:jc w:val="center"/>
              <w:rPr>
                <w:rFonts w:ascii="宋体" w:hAnsi="宋体" w:cs="宋体"/>
                <w:color w:val="auto"/>
                <w:szCs w:val="21"/>
                <w:highlight w:val="none"/>
              </w:rPr>
            </w:pPr>
          </w:p>
        </w:tc>
        <w:tc>
          <w:tcPr>
            <w:tcW w:w="688" w:type="dxa"/>
            <w:vAlign w:val="center"/>
          </w:tcPr>
          <w:p w14:paraId="3E3FCB30">
            <w:pPr>
              <w:spacing w:line="440" w:lineRule="exact"/>
              <w:jc w:val="center"/>
              <w:rPr>
                <w:rFonts w:ascii="宋体" w:hAnsi="宋体" w:cs="宋体"/>
                <w:color w:val="auto"/>
                <w:szCs w:val="21"/>
                <w:highlight w:val="none"/>
              </w:rPr>
            </w:pPr>
          </w:p>
        </w:tc>
        <w:tc>
          <w:tcPr>
            <w:tcW w:w="1329" w:type="dxa"/>
            <w:vAlign w:val="center"/>
          </w:tcPr>
          <w:p w14:paraId="3062D1C5">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5A164A88">
            <w:pPr>
              <w:pStyle w:val="25"/>
              <w:spacing w:line="440" w:lineRule="exact"/>
              <w:ind w:firstLine="0" w:firstLineChars="0"/>
              <w:jc w:val="center"/>
              <w:rPr>
                <w:rFonts w:hAnsi="宋体" w:cs="宋体"/>
                <w:color w:val="auto"/>
                <w:sz w:val="21"/>
                <w:szCs w:val="21"/>
                <w:highlight w:val="none"/>
              </w:rPr>
            </w:pPr>
          </w:p>
        </w:tc>
      </w:tr>
      <w:tr w14:paraId="70B6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3" w:type="dxa"/>
            <w:vAlign w:val="center"/>
          </w:tcPr>
          <w:p w14:paraId="0AA2E6FF">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4</w:t>
            </w:r>
          </w:p>
        </w:tc>
        <w:tc>
          <w:tcPr>
            <w:tcW w:w="2937" w:type="dxa"/>
            <w:vAlign w:val="center"/>
          </w:tcPr>
          <w:p w14:paraId="64561F18">
            <w:pPr>
              <w:spacing w:line="440" w:lineRule="exact"/>
              <w:jc w:val="center"/>
              <w:rPr>
                <w:rFonts w:ascii="宋体" w:hAnsi="宋体" w:cs="宋体"/>
                <w:color w:val="auto"/>
                <w:szCs w:val="21"/>
                <w:highlight w:val="none"/>
              </w:rPr>
            </w:pPr>
          </w:p>
        </w:tc>
        <w:tc>
          <w:tcPr>
            <w:tcW w:w="1498" w:type="dxa"/>
            <w:vAlign w:val="center"/>
          </w:tcPr>
          <w:p w14:paraId="73FD3EBE">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3F295595">
            <w:pPr>
              <w:spacing w:line="440" w:lineRule="exact"/>
              <w:jc w:val="center"/>
              <w:rPr>
                <w:rFonts w:ascii="宋体" w:hAnsi="宋体" w:cs="宋体"/>
                <w:color w:val="auto"/>
                <w:szCs w:val="21"/>
                <w:highlight w:val="none"/>
              </w:rPr>
            </w:pPr>
          </w:p>
        </w:tc>
        <w:tc>
          <w:tcPr>
            <w:tcW w:w="688" w:type="dxa"/>
            <w:vAlign w:val="center"/>
          </w:tcPr>
          <w:p w14:paraId="737C1B92">
            <w:pPr>
              <w:spacing w:line="440" w:lineRule="exact"/>
              <w:jc w:val="center"/>
              <w:rPr>
                <w:rFonts w:ascii="宋体" w:hAnsi="宋体" w:cs="宋体"/>
                <w:color w:val="auto"/>
                <w:szCs w:val="21"/>
                <w:highlight w:val="none"/>
              </w:rPr>
            </w:pPr>
          </w:p>
        </w:tc>
        <w:tc>
          <w:tcPr>
            <w:tcW w:w="1329" w:type="dxa"/>
            <w:vAlign w:val="center"/>
          </w:tcPr>
          <w:p w14:paraId="0C7A30A6">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2153DA35">
            <w:pPr>
              <w:pStyle w:val="25"/>
              <w:spacing w:line="440" w:lineRule="exact"/>
              <w:ind w:firstLine="0" w:firstLineChars="0"/>
              <w:jc w:val="center"/>
              <w:rPr>
                <w:rFonts w:hAnsi="宋体" w:cs="宋体"/>
                <w:color w:val="auto"/>
                <w:sz w:val="21"/>
                <w:szCs w:val="21"/>
                <w:highlight w:val="none"/>
              </w:rPr>
            </w:pPr>
          </w:p>
        </w:tc>
      </w:tr>
      <w:tr w14:paraId="3D9C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3" w:type="dxa"/>
            <w:vAlign w:val="center"/>
          </w:tcPr>
          <w:p w14:paraId="5B196938">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5</w:t>
            </w:r>
          </w:p>
        </w:tc>
        <w:tc>
          <w:tcPr>
            <w:tcW w:w="2937" w:type="dxa"/>
            <w:vAlign w:val="center"/>
          </w:tcPr>
          <w:p w14:paraId="377B4291">
            <w:pPr>
              <w:spacing w:line="440" w:lineRule="exact"/>
              <w:jc w:val="center"/>
              <w:rPr>
                <w:rFonts w:ascii="宋体" w:hAnsi="宋体" w:cs="宋体"/>
                <w:color w:val="auto"/>
                <w:szCs w:val="21"/>
                <w:highlight w:val="none"/>
              </w:rPr>
            </w:pPr>
          </w:p>
        </w:tc>
        <w:tc>
          <w:tcPr>
            <w:tcW w:w="1498" w:type="dxa"/>
            <w:vAlign w:val="center"/>
          </w:tcPr>
          <w:p w14:paraId="3830CE3C">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140949F4">
            <w:pPr>
              <w:spacing w:line="440" w:lineRule="exact"/>
              <w:jc w:val="center"/>
              <w:rPr>
                <w:rFonts w:ascii="宋体" w:hAnsi="宋体" w:cs="宋体"/>
                <w:color w:val="auto"/>
                <w:szCs w:val="21"/>
                <w:highlight w:val="none"/>
              </w:rPr>
            </w:pPr>
          </w:p>
        </w:tc>
        <w:tc>
          <w:tcPr>
            <w:tcW w:w="688" w:type="dxa"/>
            <w:vAlign w:val="center"/>
          </w:tcPr>
          <w:p w14:paraId="208F0575">
            <w:pPr>
              <w:spacing w:line="440" w:lineRule="exact"/>
              <w:jc w:val="center"/>
              <w:rPr>
                <w:rFonts w:ascii="宋体" w:hAnsi="宋体" w:cs="宋体"/>
                <w:color w:val="auto"/>
                <w:szCs w:val="21"/>
                <w:highlight w:val="none"/>
              </w:rPr>
            </w:pPr>
          </w:p>
        </w:tc>
        <w:tc>
          <w:tcPr>
            <w:tcW w:w="1329" w:type="dxa"/>
            <w:vAlign w:val="center"/>
          </w:tcPr>
          <w:p w14:paraId="3F2C5397">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11508437">
            <w:pPr>
              <w:pStyle w:val="25"/>
              <w:spacing w:line="440" w:lineRule="exact"/>
              <w:ind w:firstLine="0" w:firstLineChars="0"/>
              <w:jc w:val="center"/>
              <w:rPr>
                <w:rFonts w:hAnsi="宋体" w:cs="宋体"/>
                <w:color w:val="auto"/>
                <w:sz w:val="21"/>
                <w:szCs w:val="21"/>
                <w:highlight w:val="none"/>
              </w:rPr>
            </w:pPr>
          </w:p>
        </w:tc>
      </w:tr>
      <w:tr w14:paraId="4CAF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3" w:type="dxa"/>
            <w:vAlign w:val="center"/>
          </w:tcPr>
          <w:p w14:paraId="7DAE50DE">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6</w:t>
            </w:r>
          </w:p>
        </w:tc>
        <w:tc>
          <w:tcPr>
            <w:tcW w:w="2937" w:type="dxa"/>
            <w:vAlign w:val="center"/>
          </w:tcPr>
          <w:p w14:paraId="2BBB8487">
            <w:pPr>
              <w:spacing w:line="440" w:lineRule="exact"/>
              <w:jc w:val="center"/>
              <w:rPr>
                <w:rFonts w:ascii="宋体" w:hAnsi="宋体" w:cs="宋体"/>
                <w:color w:val="auto"/>
                <w:szCs w:val="21"/>
                <w:highlight w:val="none"/>
              </w:rPr>
            </w:pPr>
          </w:p>
        </w:tc>
        <w:tc>
          <w:tcPr>
            <w:tcW w:w="1498" w:type="dxa"/>
            <w:vAlign w:val="center"/>
          </w:tcPr>
          <w:p w14:paraId="539883C3">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7301D12B">
            <w:pPr>
              <w:spacing w:line="440" w:lineRule="exact"/>
              <w:jc w:val="center"/>
              <w:rPr>
                <w:rFonts w:ascii="宋体" w:hAnsi="宋体" w:cs="宋体"/>
                <w:color w:val="auto"/>
                <w:szCs w:val="21"/>
                <w:highlight w:val="none"/>
              </w:rPr>
            </w:pPr>
          </w:p>
        </w:tc>
        <w:tc>
          <w:tcPr>
            <w:tcW w:w="688" w:type="dxa"/>
            <w:vAlign w:val="center"/>
          </w:tcPr>
          <w:p w14:paraId="3D2DF4EF">
            <w:pPr>
              <w:spacing w:line="440" w:lineRule="exact"/>
              <w:jc w:val="center"/>
              <w:rPr>
                <w:rFonts w:ascii="宋体" w:hAnsi="宋体" w:cs="宋体"/>
                <w:color w:val="auto"/>
                <w:szCs w:val="21"/>
                <w:highlight w:val="none"/>
              </w:rPr>
            </w:pPr>
          </w:p>
        </w:tc>
        <w:tc>
          <w:tcPr>
            <w:tcW w:w="1329" w:type="dxa"/>
            <w:vAlign w:val="center"/>
          </w:tcPr>
          <w:p w14:paraId="7A3C46CB">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4300DDD4">
            <w:pPr>
              <w:pStyle w:val="25"/>
              <w:spacing w:line="440" w:lineRule="exact"/>
              <w:ind w:firstLine="0" w:firstLineChars="0"/>
              <w:jc w:val="center"/>
              <w:rPr>
                <w:rFonts w:hAnsi="宋体" w:cs="宋体"/>
                <w:color w:val="auto"/>
                <w:sz w:val="21"/>
                <w:szCs w:val="21"/>
                <w:highlight w:val="none"/>
              </w:rPr>
            </w:pPr>
          </w:p>
        </w:tc>
      </w:tr>
      <w:tr w14:paraId="40EA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3" w:type="dxa"/>
            <w:vAlign w:val="center"/>
          </w:tcPr>
          <w:p w14:paraId="7208487E">
            <w:pPr>
              <w:pStyle w:val="25"/>
              <w:spacing w:line="440" w:lineRule="exact"/>
              <w:ind w:firstLine="0" w:firstLineChars="0"/>
              <w:jc w:val="center"/>
              <w:rPr>
                <w:rFonts w:hAnsi="宋体" w:cs="宋体"/>
                <w:color w:val="auto"/>
                <w:sz w:val="21"/>
                <w:szCs w:val="21"/>
                <w:highlight w:val="none"/>
              </w:rPr>
            </w:pPr>
            <w:r>
              <w:rPr>
                <w:rFonts w:hint="eastAsia" w:hAnsi="宋体" w:cs="宋体"/>
                <w:color w:val="auto"/>
                <w:sz w:val="21"/>
                <w:szCs w:val="21"/>
                <w:highlight w:val="none"/>
              </w:rPr>
              <w:t>....</w:t>
            </w:r>
          </w:p>
        </w:tc>
        <w:tc>
          <w:tcPr>
            <w:tcW w:w="2937" w:type="dxa"/>
            <w:vAlign w:val="center"/>
          </w:tcPr>
          <w:p w14:paraId="37442F76">
            <w:pPr>
              <w:spacing w:line="440" w:lineRule="exact"/>
              <w:jc w:val="center"/>
              <w:rPr>
                <w:rFonts w:ascii="宋体" w:hAnsi="宋体" w:cs="宋体"/>
                <w:color w:val="auto"/>
                <w:szCs w:val="21"/>
                <w:highlight w:val="none"/>
              </w:rPr>
            </w:pPr>
          </w:p>
        </w:tc>
        <w:tc>
          <w:tcPr>
            <w:tcW w:w="1498" w:type="dxa"/>
            <w:vAlign w:val="center"/>
          </w:tcPr>
          <w:p w14:paraId="3975FF38">
            <w:pPr>
              <w:pStyle w:val="25"/>
              <w:spacing w:line="440" w:lineRule="exact"/>
              <w:ind w:firstLine="0" w:firstLineChars="0"/>
              <w:jc w:val="center"/>
              <w:rPr>
                <w:rFonts w:hAnsi="宋体" w:cs="宋体"/>
                <w:color w:val="auto"/>
                <w:sz w:val="21"/>
                <w:szCs w:val="21"/>
                <w:highlight w:val="none"/>
              </w:rPr>
            </w:pPr>
          </w:p>
        </w:tc>
        <w:tc>
          <w:tcPr>
            <w:tcW w:w="741" w:type="dxa"/>
            <w:vAlign w:val="center"/>
          </w:tcPr>
          <w:p w14:paraId="30EEFDE1">
            <w:pPr>
              <w:spacing w:line="440" w:lineRule="exact"/>
              <w:jc w:val="center"/>
              <w:rPr>
                <w:rFonts w:ascii="宋体" w:hAnsi="宋体" w:cs="宋体"/>
                <w:color w:val="auto"/>
                <w:szCs w:val="21"/>
                <w:highlight w:val="none"/>
              </w:rPr>
            </w:pPr>
          </w:p>
        </w:tc>
        <w:tc>
          <w:tcPr>
            <w:tcW w:w="688" w:type="dxa"/>
            <w:vAlign w:val="center"/>
          </w:tcPr>
          <w:p w14:paraId="68062CEE">
            <w:pPr>
              <w:spacing w:line="440" w:lineRule="exact"/>
              <w:jc w:val="center"/>
              <w:rPr>
                <w:rFonts w:ascii="宋体" w:hAnsi="宋体" w:cs="宋体"/>
                <w:color w:val="auto"/>
                <w:szCs w:val="21"/>
                <w:highlight w:val="none"/>
              </w:rPr>
            </w:pPr>
          </w:p>
        </w:tc>
        <w:tc>
          <w:tcPr>
            <w:tcW w:w="1329" w:type="dxa"/>
            <w:vAlign w:val="center"/>
          </w:tcPr>
          <w:p w14:paraId="7CAAD941">
            <w:pPr>
              <w:pStyle w:val="25"/>
              <w:spacing w:line="440" w:lineRule="exact"/>
              <w:ind w:firstLine="0" w:firstLineChars="0"/>
              <w:jc w:val="center"/>
              <w:rPr>
                <w:rFonts w:hAnsi="宋体" w:cs="宋体"/>
                <w:color w:val="auto"/>
                <w:sz w:val="21"/>
                <w:szCs w:val="21"/>
                <w:highlight w:val="none"/>
              </w:rPr>
            </w:pPr>
          </w:p>
        </w:tc>
        <w:tc>
          <w:tcPr>
            <w:tcW w:w="1111" w:type="dxa"/>
            <w:vAlign w:val="center"/>
          </w:tcPr>
          <w:p w14:paraId="0C40CF14">
            <w:pPr>
              <w:pStyle w:val="25"/>
              <w:spacing w:line="440" w:lineRule="exact"/>
              <w:ind w:firstLine="0" w:firstLineChars="0"/>
              <w:jc w:val="center"/>
              <w:rPr>
                <w:rFonts w:hAnsi="宋体" w:cs="宋体"/>
                <w:color w:val="auto"/>
                <w:sz w:val="21"/>
                <w:szCs w:val="21"/>
                <w:highlight w:val="none"/>
              </w:rPr>
            </w:pPr>
          </w:p>
        </w:tc>
      </w:tr>
    </w:tbl>
    <w:p w14:paraId="68D0889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 xml:space="preserve"> 注：</w:t>
      </w:r>
    </w:p>
    <w:p w14:paraId="23163A8B">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zh-CN"/>
        </w:rPr>
        <w:t>所有投标只能选择一种方案，单价和合价的报价只能是唯一，且须列出详细的分项报价。</w:t>
      </w:r>
      <w:r>
        <w:rPr>
          <w:rFonts w:hint="eastAsia" w:ascii="宋体" w:hAnsi="宋体" w:cs="宋体"/>
          <w:color w:val="auto"/>
          <w:szCs w:val="21"/>
          <w:highlight w:val="none"/>
        </w:rPr>
        <w:t>（与采购清单项相一致，不得缺项，否则视同包含在其他项目。）</w:t>
      </w:r>
    </w:p>
    <w:p w14:paraId="26D0B253">
      <w:pPr>
        <w:tabs>
          <w:tab w:val="left" w:pos="312"/>
        </w:tabs>
        <w:spacing w:line="440" w:lineRule="exact"/>
        <w:rPr>
          <w:rFonts w:ascii="宋体" w:hAnsi="宋体" w:cs="宋体"/>
          <w:color w:val="auto"/>
          <w:szCs w:val="21"/>
          <w:highlight w:val="none"/>
          <w:lang w:val="zh-CN"/>
        </w:rPr>
      </w:pPr>
      <w:r>
        <w:rPr>
          <w:rFonts w:hint="eastAsia" w:ascii="宋体"/>
          <w:color w:val="auto"/>
          <w:szCs w:val="21"/>
          <w:highlight w:val="none"/>
        </w:rPr>
        <w:t>2、</w:t>
      </w:r>
      <w:r>
        <w:rPr>
          <w:rFonts w:hint="eastAsia" w:ascii="宋体" w:hAnsi="宋体" w:cs="宋体"/>
          <w:color w:val="auto"/>
          <w:szCs w:val="21"/>
          <w:highlight w:val="none"/>
          <w:lang w:val="zh-CN"/>
        </w:rPr>
        <w:t>投标报价采用综合单价法，</w:t>
      </w:r>
      <w:r>
        <w:rPr>
          <w:rFonts w:hint="eastAsia" w:ascii="宋体" w:hAnsi="宋体" w:cs="宋体"/>
          <w:color w:val="auto"/>
          <w:kern w:val="0"/>
          <w:szCs w:val="21"/>
          <w:highlight w:val="none"/>
          <w:lang w:bidi="ar"/>
        </w:rPr>
        <w:t>综合单价包括但不限于为完成项目全部内容所发生的</w:t>
      </w:r>
      <w:r>
        <w:rPr>
          <w:rFonts w:hint="eastAsia" w:ascii="宋体" w:hAnsi="宋体" w:cs="宋体"/>
          <w:color w:val="auto"/>
          <w:szCs w:val="21"/>
          <w:highlight w:val="none"/>
        </w:rPr>
        <w:t>：货物设备费、人工费、材料费（含主材及辅材）、装卸费、运输费、安装费、调试费、管理费、利润、风险费用、代理费及后期服务及国家对中标单位征收的各种税费等所有一切费用，采购人不再为此项目支付任何费用，综合单价今后将不做任何调整</w:t>
      </w:r>
      <w:r>
        <w:rPr>
          <w:rFonts w:hint="eastAsia" w:ascii="宋体" w:hAnsi="宋体" w:cs="宋体"/>
          <w:color w:val="auto"/>
          <w:szCs w:val="21"/>
          <w:highlight w:val="none"/>
          <w:lang w:val="zh-CN"/>
        </w:rPr>
        <w:t>。</w:t>
      </w:r>
    </w:p>
    <w:p w14:paraId="2F55ED19">
      <w:pPr>
        <w:spacing w:line="440" w:lineRule="exact"/>
        <w:ind w:firstLine="420" w:firstLineChars="200"/>
        <w:rPr>
          <w:rFonts w:ascii="宋体"/>
          <w:bCs/>
          <w:color w:val="auto"/>
          <w:szCs w:val="21"/>
          <w:highlight w:val="none"/>
        </w:rPr>
      </w:pPr>
    </w:p>
    <w:p w14:paraId="54A7975D">
      <w:pPr>
        <w:spacing w:line="600" w:lineRule="exact"/>
        <w:rPr>
          <w:rFonts w:ascii="宋体" w:hAnsi="宋体" w:cs="宋体"/>
          <w:color w:val="auto"/>
          <w:sz w:val="24"/>
          <w:highlight w:val="none"/>
        </w:rPr>
      </w:pPr>
    </w:p>
    <w:p w14:paraId="3C669CE8">
      <w:pPr>
        <w:spacing w:line="6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法定代表人或代理人（被授权人）：</w:t>
      </w:r>
      <w:r>
        <w:rPr>
          <w:rFonts w:hint="eastAsia" w:ascii="宋体" w:hAnsi="宋体" w:cs="宋体"/>
          <w:color w:val="auto"/>
          <w:sz w:val="24"/>
          <w:highlight w:val="none"/>
          <w:u w:val="single"/>
        </w:rPr>
        <w:t xml:space="preserve">                （签字或盖章）          </w:t>
      </w:r>
    </w:p>
    <w:p w14:paraId="479E4D1E">
      <w:pPr>
        <w:spacing w:line="600" w:lineRule="exact"/>
        <w:rPr>
          <w:rFonts w:ascii="宋体" w:hAnsi="宋体" w:cs="宋体"/>
          <w:color w:val="auto"/>
          <w:sz w:val="24"/>
          <w:highlight w:val="none"/>
        </w:rPr>
      </w:pPr>
      <w:r>
        <w:rPr>
          <w:rFonts w:hint="eastAsia" w:ascii="宋体" w:hAnsi="宋体" w:cs="宋体"/>
          <w:color w:val="auto"/>
          <w:sz w:val="24"/>
          <w:highlight w:val="none"/>
        </w:rPr>
        <w:t xml:space="preserve">                                    投标供应商名称：</w:t>
      </w:r>
      <w:r>
        <w:rPr>
          <w:rFonts w:hint="eastAsia" w:ascii="宋体" w:hAnsi="宋体" w:cs="宋体"/>
          <w:color w:val="auto"/>
          <w:sz w:val="24"/>
          <w:highlight w:val="none"/>
          <w:u w:val="single"/>
        </w:rPr>
        <w:t xml:space="preserve">        （公章）          </w:t>
      </w:r>
    </w:p>
    <w:p w14:paraId="1F0153C3">
      <w:pPr>
        <w:spacing w:line="600" w:lineRule="exact"/>
        <w:ind w:firstLine="4680" w:firstLineChars="1950"/>
        <w:rPr>
          <w:rFonts w:ascii="宋体" w:hAnsi="宋体" w:cs="宋体"/>
          <w:color w:val="auto"/>
          <w:sz w:val="24"/>
          <w:highlight w:val="none"/>
          <w:u w:val="single"/>
        </w:rPr>
      </w:pPr>
      <w:r>
        <w:rPr>
          <w:rFonts w:hint="eastAsia" w:ascii="宋体" w:hAnsi="宋体" w:cs="宋体"/>
          <w:color w:val="auto"/>
          <w:sz w:val="24"/>
          <w:highlight w:val="none"/>
        </w:rPr>
        <w:t>日    期：</w:t>
      </w:r>
    </w:p>
    <w:p w14:paraId="3BF2B904">
      <w:pPr>
        <w:rPr>
          <w:rFonts w:ascii="宋体" w:hAnsi="宋体" w:cs="宋体"/>
          <w:b/>
          <w:color w:val="auto"/>
          <w:sz w:val="24"/>
          <w:highlight w:val="none"/>
        </w:rPr>
      </w:pPr>
    </w:p>
    <w:p w14:paraId="71CB7B83">
      <w:pPr>
        <w:pageBreakBefore/>
        <w:spacing w:before="162" w:beforeLines="50" w:after="162" w:afterLines="50" w:line="440" w:lineRule="exact"/>
        <w:jc w:val="center"/>
        <w:outlineLvl w:val="1"/>
        <w:rPr>
          <w:rFonts w:ascii="宋体" w:hAnsi="宋体" w:cs="宋体"/>
          <w:b/>
          <w:color w:val="auto"/>
          <w:sz w:val="32"/>
          <w:szCs w:val="32"/>
          <w:highlight w:val="none"/>
        </w:rPr>
      </w:pPr>
      <w:bookmarkStart w:id="181" w:name="_Toc15676"/>
      <w:r>
        <w:rPr>
          <w:rFonts w:hint="eastAsia" w:ascii="宋体" w:hAnsi="宋体" w:cs="宋体"/>
          <w:b/>
          <w:color w:val="auto"/>
          <w:sz w:val="32"/>
          <w:szCs w:val="32"/>
          <w:highlight w:val="none"/>
        </w:rPr>
        <w:t>第六章  采购单位、招标代理机构对本采购文件的确认</w:t>
      </w:r>
      <w:bookmarkEnd w:id="181"/>
    </w:p>
    <w:p w14:paraId="264E4674">
      <w:pPr>
        <w:pStyle w:val="8"/>
        <w:rPr>
          <w:rFonts w:ascii="宋体" w:hAnsi="宋体" w:cs="宋体"/>
          <w:b w:val="0"/>
          <w:bCs w:val="0"/>
          <w:color w:val="auto"/>
          <w:sz w:val="24"/>
          <w:szCs w:val="24"/>
          <w:highlight w:val="none"/>
        </w:rPr>
      </w:pP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244C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9180" w:type="dxa"/>
          </w:tcPr>
          <w:p w14:paraId="23F19F58">
            <w:pPr>
              <w:adjustRightInd w:val="0"/>
              <w:snapToGrid w:val="0"/>
              <w:spacing w:line="320" w:lineRule="exact"/>
              <w:rPr>
                <w:rFonts w:ascii="宋体" w:hAnsi="宋体" w:cs="宋体"/>
                <w:color w:val="auto"/>
                <w:sz w:val="30"/>
                <w:szCs w:val="30"/>
                <w:highlight w:val="none"/>
              </w:rPr>
            </w:pPr>
          </w:p>
          <w:p w14:paraId="077AA639">
            <w:pPr>
              <w:spacing w:line="700" w:lineRule="exact"/>
              <w:ind w:right="143" w:rightChars="68"/>
              <w:jc w:val="left"/>
              <w:rPr>
                <w:rFonts w:ascii="宋体" w:hAnsi="宋体" w:cs="宋体"/>
                <w:color w:val="auto"/>
                <w:sz w:val="30"/>
                <w:highlight w:val="none"/>
              </w:rPr>
            </w:pPr>
            <w:r>
              <w:rPr>
                <w:rFonts w:hint="eastAsia" w:ascii="宋体" w:hAnsi="宋体" w:cs="宋体"/>
                <w:color w:val="auto"/>
                <w:sz w:val="30"/>
                <w:highlight w:val="none"/>
              </w:rPr>
              <w:t>我单位对</w:t>
            </w:r>
            <w:r>
              <w:rPr>
                <w:rFonts w:hint="eastAsia" w:ascii="宋体" w:hAnsi="宋体" w:cs="宋体"/>
                <w:color w:val="auto"/>
                <w:sz w:val="30"/>
                <w:highlight w:val="none"/>
                <w:u w:val="single"/>
              </w:rPr>
              <w:t xml:space="preserve">  </w:t>
            </w:r>
            <w:r>
              <w:rPr>
                <w:rFonts w:hint="eastAsia" w:ascii="宋体" w:hAnsi="宋体" w:cs="宋体"/>
                <w:color w:val="auto"/>
                <w:sz w:val="30"/>
                <w:highlight w:val="none"/>
                <w:u w:val="single"/>
                <w:lang w:eastAsia="zh-CN"/>
              </w:rPr>
              <w:t>滁州学院2025年人工智能学院行政办公家具采购项目</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的采购文件进行确认。</w:t>
            </w:r>
          </w:p>
          <w:p w14:paraId="0747957A">
            <w:pPr>
              <w:spacing w:line="600" w:lineRule="exact"/>
              <w:ind w:firstLine="560" w:firstLineChars="200"/>
              <w:jc w:val="left"/>
              <w:rPr>
                <w:rFonts w:ascii="宋体" w:cs="宋体"/>
                <w:color w:val="auto"/>
                <w:sz w:val="28"/>
                <w:szCs w:val="28"/>
                <w:highlight w:val="none"/>
              </w:rPr>
            </w:pPr>
          </w:p>
          <w:p w14:paraId="603E28B5">
            <w:pPr>
              <w:spacing w:line="600" w:lineRule="exact"/>
              <w:ind w:firstLine="560" w:firstLineChars="200"/>
              <w:jc w:val="left"/>
              <w:rPr>
                <w:rFonts w:ascii="宋体" w:cs="宋体"/>
                <w:color w:val="auto"/>
                <w:sz w:val="28"/>
                <w:szCs w:val="28"/>
                <w:highlight w:val="none"/>
              </w:rPr>
            </w:pPr>
            <w:r>
              <w:rPr>
                <w:rFonts w:hint="eastAsia" w:ascii="宋体" w:cs="宋体"/>
                <w:color w:val="auto"/>
                <w:sz w:val="28"/>
                <w:szCs w:val="28"/>
                <w:highlight w:val="none"/>
              </w:rPr>
              <w:t>采购单位：</w:t>
            </w:r>
            <w:r>
              <w:rPr>
                <w:rFonts w:hint="eastAsia" w:ascii="宋体" w:hAnsi="宋体"/>
                <w:color w:val="auto"/>
                <w:sz w:val="30"/>
                <w:highlight w:val="none"/>
              </w:rPr>
              <w:t>资产与实验室管理处</w:t>
            </w:r>
          </w:p>
          <w:p w14:paraId="4BAC9B38">
            <w:pPr>
              <w:spacing w:line="600" w:lineRule="exact"/>
              <w:ind w:firstLine="560" w:firstLineChars="200"/>
              <w:jc w:val="left"/>
              <w:rPr>
                <w:rFonts w:hint="eastAsia" w:ascii="宋体" w:hAnsi="宋体" w:eastAsia="宋体"/>
                <w:color w:val="auto"/>
                <w:sz w:val="30"/>
                <w:highlight w:val="none"/>
                <w:lang w:eastAsia="zh-CN"/>
              </w:rPr>
            </w:pPr>
            <w:r>
              <w:rPr>
                <w:rFonts w:hint="eastAsia" w:ascii="宋体" w:cs="宋体"/>
                <w:color w:val="auto"/>
                <w:sz w:val="28"/>
                <w:szCs w:val="28"/>
                <w:highlight w:val="none"/>
              </w:rPr>
              <w:t>联系人</w:t>
            </w:r>
            <w:r>
              <w:rPr>
                <w:rFonts w:hint="eastAsia" w:ascii="宋体" w:hAnsi="宋体"/>
                <w:color w:val="auto"/>
                <w:sz w:val="30"/>
                <w:highlight w:val="none"/>
              </w:rPr>
              <w:t>：</w:t>
            </w:r>
            <w:r>
              <w:rPr>
                <w:rFonts w:hint="eastAsia" w:ascii="宋体" w:hAnsi="宋体"/>
                <w:color w:val="auto"/>
                <w:sz w:val="30"/>
                <w:highlight w:val="none"/>
                <w:lang w:val="en-US" w:eastAsia="zh-CN"/>
              </w:rPr>
              <w:t>李</w:t>
            </w:r>
            <w:r>
              <w:rPr>
                <w:rFonts w:hint="eastAsia" w:ascii="宋体" w:hAnsi="宋体"/>
                <w:color w:val="auto"/>
                <w:sz w:val="30"/>
                <w:highlight w:val="none"/>
              </w:rPr>
              <w:t>老师、刘</w:t>
            </w:r>
            <w:r>
              <w:rPr>
                <w:rFonts w:hint="eastAsia" w:ascii="宋体" w:hAnsi="宋体"/>
                <w:color w:val="auto"/>
                <w:sz w:val="30"/>
                <w:highlight w:val="none"/>
                <w:lang w:eastAsia="zh-CN"/>
              </w:rPr>
              <w:t>老师</w:t>
            </w:r>
            <w:r>
              <w:rPr>
                <w:rFonts w:hint="eastAsia" w:ascii="宋体" w:hAnsi="宋体"/>
                <w:color w:val="auto"/>
                <w:sz w:val="30"/>
                <w:highlight w:val="none"/>
                <w:lang w:val="en-US" w:eastAsia="zh-CN"/>
              </w:rPr>
              <w:t xml:space="preserve"> </w:t>
            </w:r>
          </w:p>
          <w:p w14:paraId="37CB89A9">
            <w:pPr>
              <w:spacing w:line="700" w:lineRule="exact"/>
              <w:ind w:firstLine="560" w:firstLineChars="200"/>
              <w:rPr>
                <w:rFonts w:ascii="宋体" w:hAnsi="宋体" w:cs="宋体"/>
                <w:color w:val="auto"/>
                <w:sz w:val="30"/>
                <w:highlight w:val="none"/>
              </w:rPr>
            </w:pPr>
            <w:r>
              <w:rPr>
                <w:rFonts w:hint="eastAsia" w:ascii="宋体" w:cs="宋体"/>
                <w:color w:val="auto"/>
                <w:sz w:val="28"/>
                <w:szCs w:val="28"/>
                <w:highlight w:val="none"/>
              </w:rPr>
              <w:t>联系电话：0550-3512003、18855576413</w:t>
            </w:r>
            <w:r>
              <w:rPr>
                <w:rFonts w:hint="eastAsia" w:ascii="宋体" w:cs="宋体"/>
                <w:color w:val="auto"/>
                <w:sz w:val="28"/>
                <w:szCs w:val="28"/>
                <w:highlight w:val="none"/>
                <w:lang w:val="en-US" w:eastAsia="zh-CN"/>
              </w:rPr>
              <w:t xml:space="preserve"> </w:t>
            </w:r>
            <w:r>
              <w:rPr>
                <w:rFonts w:hint="eastAsia" w:ascii="宋体" w:cs="宋体"/>
                <w:color w:val="auto"/>
                <w:sz w:val="28"/>
                <w:szCs w:val="28"/>
                <w:highlight w:val="none"/>
              </w:rPr>
              <w:t>　</w:t>
            </w:r>
          </w:p>
          <w:p w14:paraId="166CFBD4">
            <w:pPr>
              <w:spacing w:line="500" w:lineRule="exact"/>
              <w:ind w:firstLine="300" w:firstLineChars="100"/>
              <w:rPr>
                <w:rFonts w:ascii="宋体" w:hAnsi="宋体" w:cs="宋体"/>
                <w:color w:val="auto"/>
                <w:sz w:val="30"/>
                <w:highlight w:val="none"/>
              </w:rPr>
            </w:pPr>
          </w:p>
          <w:p w14:paraId="6E05A8EA">
            <w:pPr>
              <w:widowControl/>
              <w:spacing w:line="440" w:lineRule="exact"/>
              <w:ind w:left="-197" w:leftChars="-94" w:right="-313" w:rightChars="-149"/>
              <w:jc w:val="left"/>
              <w:rPr>
                <w:rFonts w:ascii="宋体" w:hAnsi="宋体" w:cs="宋体"/>
                <w:color w:val="auto"/>
                <w:szCs w:val="21"/>
                <w:highlight w:val="none"/>
              </w:rPr>
            </w:pPr>
            <w:r>
              <w:rPr>
                <w:rFonts w:hint="eastAsia" w:ascii="宋体" w:hAnsi="宋体" w:cs="宋体"/>
                <w:color w:val="auto"/>
                <w:szCs w:val="21"/>
                <w:highlight w:val="none"/>
              </w:rPr>
              <w:t xml:space="preserve"> </w:t>
            </w:r>
          </w:p>
          <w:p w14:paraId="6A2DFBFC">
            <w:pPr>
              <w:pStyle w:val="19"/>
              <w:rPr>
                <w:color w:val="auto"/>
                <w:highlight w:val="none"/>
              </w:rPr>
            </w:pPr>
          </w:p>
          <w:p w14:paraId="0128F0CE">
            <w:pPr>
              <w:spacing w:line="500" w:lineRule="exact"/>
              <w:ind w:firstLine="300" w:firstLineChars="100"/>
              <w:rPr>
                <w:rFonts w:ascii="宋体" w:hAnsi="宋体" w:cs="宋体"/>
                <w:color w:val="auto"/>
                <w:sz w:val="30"/>
                <w:highlight w:val="none"/>
              </w:rPr>
            </w:pPr>
            <w:r>
              <w:rPr>
                <w:rFonts w:hint="eastAsia" w:ascii="宋体" w:hAnsi="宋体" w:cs="宋体"/>
                <w:color w:val="auto"/>
                <w:sz w:val="30"/>
                <w:highlight w:val="none"/>
              </w:rPr>
              <w:t xml:space="preserve">                                        （单位盖章）</w:t>
            </w:r>
          </w:p>
          <w:p w14:paraId="1AAAC4C9">
            <w:pPr>
              <w:ind w:firstLine="6600" w:firstLineChars="2200"/>
              <w:rPr>
                <w:rFonts w:ascii="宋体" w:hAnsi="宋体" w:cs="宋体"/>
                <w:color w:val="auto"/>
                <w:sz w:val="30"/>
                <w:highlight w:val="none"/>
              </w:rPr>
            </w:pPr>
            <w:r>
              <w:rPr>
                <w:rFonts w:hint="eastAsia" w:ascii="宋体" w:hAnsi="宋体" w:cs="宋体"/>
                <w:color w:val="auto"/>
                <w:sz w:val="30"/>
                <w:highlight w:val="none"/>
              </w:rPr>
              <w:t>202</w:t>
            </w:r>
            <w:r>
              <w:rPr>
                <w:rFonts w:hint="eastAsia" w:ascii="宋体" w:hAnsi="宋体" w:cs="宋体"/>
                <w:color w:val="auto"/>
                <w:sz w:val="30"/>
                <w:highlight w:val="none"/>
                <w:lang w:val="en-US" w:eastAsia="zh-CN"/>
              </w:rPr>
              <w:t>5</w:t>
            </w:r>
            <w:r>
              <w:rPr>
                <w:rFonts w:hint="eastAsia" w:ascii="宋体" w:hAnsi="宋体" w:cs="宋体"/>
                <w:color w:val="auto"/>
                <w:sz w:val="30"/>
                <w:highlight w:val="none"/>
              </w:rPr>
              <w:t>年</w:t>
            </w:r>
            <w:r>
              <w:rPr>
                <w:rFonts w:hint="eastAsia" w:ascii="宋体" w:hAnsi="宋体" w:cs="宋体"/>
                <w:color w:val="auto"/>
                <w:sz w:val="30"/>
                <w:highlight w:val="none"/>
                <w:lang w:val="en-US" w:eastAsia="zh-CN"/>
              </w:rPr>
              <w:t>6</w:t>
            </w:r>
            <w:r>
              <w:rPr>
                <w:rFonts w:hint="eastAsia" w:ascii="宋体" w:hAnsi="宋体" w:cs="宋体"/>
                <w:color w:val="auto"/>
                <w:sz w:val="30"/>
                <w:highlight w:val="none"/>
              </w:rPr>
              <w:t>月</w:t>
            </w:r>
          </w:p>
        </w:tc>
      </w:tr>
      <w:tr w14:paraId="14AF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8" w:hRule="atLeast"/>
        </w:trPr>
        <w:tc>
          <w:tcPr>
            <w:tcW w:w="9180" w:type="dxa"/>
          </w:tcPr>
          <w:p w14:paraId="181FDF95">
            <w:pPr>
              <w:spacing w:line="320" w:lineRule="atLeast"/>
              <w:ind w:firstLine="600" w:firstLineChars="200"/>
              <w:rPr>
                <w:rFonts w:ascii="宋体" w:hAnsi="宋体" w:cs="宋体"/>
                <w:color w:val="auto"/>
                <w:sz w:val="30"/>
                <w:highlight w:val="none"/>
              </w:rPr>
            </w:pPr>
          </w:p>
          <w:p w14:paraId="19D11A01">
            <w:pPr>
              <w:spacing w:line="320" w:lineRule="atLeast"/>
              <w:ind w:firstLine="600" w:firstLineChars="200"/>
              <w:rPr>
                <w:rFonts w:ascii="宋体" w:hAnsi="宋体" w:cs="宋体"/>
                <w:color w:val="auto"/>
                <w:sz w:val="30"/>
                <w:highlight w:val="none"/>
              </w:rPr>
            </w:pPr>
            <w:r>
              <w:rPr>
                <w:rFonts w:hint="eastAsia" w:ascii="宋体" w:hAnsi="宋体" w:cs="宋体"/>
                <w:color w:val="auto"/>
                <w:sz w:val="30"/>
                <w:highlight w:val="none"/>
              </w:rPr>
              <w:t>招标代理机构：安徽立地工程咨询有限公司</w:t>
            </w:r>
          </w:p>
          <w:p w14:paraId="05DF6368">
            <w:pPr>
              <w:spacing w:line="320" w:lineRule="atLeast"/>
              <w:ind w:firstLine="600" w:firstLineChars="200"/>
              <w:rPr>
                <w:rFonts w:ascii="宋体" w:hAnsi="宋体" w:cs="宋体"/>
                <w:color w:val="auto"/>
                <w:sz w:val="30"/>
                <w:szCs w:val="30"/>
                <w:highlight w:val="none"/>
              </w:rPr>
            </w:pPr>
            <w:r>
              <w:rPr>
                <w:rFonts w:hint="eastAsia" w:ascii="宋体" w:hAnsi="宋体" w:cs="宋体"/>
                <w:color w:val="auto"/>
                <w:sz w:val="30"/>
                <w:szCs w:val="30"/>
                <w:highlight w:val="none"/>
              </w:rPr>
              <w:t>经办人：全晨曦、翁海玲</w:t>
            </w:r>
          </w:p>
          <w:p w14:paraId="65F5501A">
            <w:pPr>
              <w:spacing w:line="560" w:lineRule="exact"/>
              <w:ind w:firstLine="600" w:firstLineChars="200"/>
              <w:rPr>
                <w:rFonts w:ascii="宋体" w:hAnsi="宋体" w:cs="宋体"/>
                <w:color w:val="auto"/>
                <w:sz w:val="30"/>
                <w:szCs w:val="30"/>
                <w:highlight w:val="none"/>
              </w:rPr>
            </w:pPr>
            <w:r>
              <w:rPr>
                <w:rFonts w:hint="eastAsia" w:ascii="宋体" w:hAnsi="宋体" w:cs="宋体"/>
                <w:color w:val="auto"/>
                <w:sz w:val="30"/>
                <w:szCs w:val="30"/>
                <w:highlight w:val="none"/>
              </w:rPr>
              <w:t>联系电话：18075270227、13965950189</w:t>
            </w:r>
          </w:p>
          <w:p w14:paraId="0F0EEA4D">
            <w:pPr>
              <w:spacing w:line="500" w:lineRule="exact"/>
              <w:ind w:firstLine="600" w:firstLineChars="200"/>
              <w:rPr>
                <w:rFonts w:ascii="宋体" w:hAnsi="宋体" w:cs="宋体"/>
                <w:color w:val="auto"/>
                <w:sz w:val="30"/>
                <w:szCs w:val="30"/>
                <w:highlight w:val="none"/>
              </w:rPr>
            </w:pPr>
          </w:p>
          <w:p w14:paraId="4A3F3688">
            <w:pPr>
              <w:spacing w:line="500" w:lineRule="exact"/>
              <w:ind w:firstLine="600" w:firstLineChars="200"/>
              <w:rPr>
                <w:rFonts w:ascii="宋体" w:hAnsi="宋体" w:cs="宋体"/>
                <w:color w:val="auto"/>
                <w:sz w:val="30"/>
                <w:highlight w:val="none"/>
              </w:rPr>
            </w:pPr>
          </w:p>
          <w:p w14:paraId="761BDFD6">
            <w:pPr>
              <w:ind w:firstLine="5400" w:firstLineChars="1800"/>
              <w:rPr>
                <w:rFonts w:ascii="宋体" w:hAnsi="宋体" w:cs="宋体"/>
                <w:color w:val="auto"/>
                <w:sz w:val="30"/>
                <w:highlight w:val="none"/>
              </w:rPr>
            </w:pPr>
          </w:p>
          <w:p w14:paraId="26670C2E">
            <w:pPr>
              <w:ind w:firstLine="5400" w:firstLineChars="1800"/>
              <w:rPr>
                <w:rFonts w:ascii="宋体" w:hAnsi="宋体" w:cs="宋体"/>
                <w:color w:val="auto"/>
                <w:sz w:val="30"/>
                <w:highlight w:val="none"/>
              </w:rPr>
            </w:pPr>
          </w:p>
          <w:p w14:paraId="5A4B08DE">
            <w:pPr>
              <w:ind w:firstLine="6300" w:firstLineChars="2100"/>
              <w:rPr>
                <w:rFonts w:ascii="宋体" w:hAnsi="宋体" w:cs="宋体"/>
                <w:color w:val="auto"/>
                <w:sz w:val="30"/>
                <w:highlight w:val="none"/>
              </w:rPr>
            </w:pPr>
            <w:r>
              <w:rPr>
                <w:rFonts w:hint="eastAsia" w:ascii="宋体" w:hAnsi="宋体" w:cs="宋体"/>
                <w:color w:val="auto"/>
                <w:sz w:val="30"/>
                <w:highlight w:val="none"/>
              </w:rPr>
              <w:t>（单位盖章）</w:t>
            </w:r>
          </w:p>
          <w:p w14:paraId="0BA0036B">
            <w:pPr>
              <w:ind w:firstLine="5250" w:firstLineChars="1750"/>
              <w:rPr>
                <w:rFonts w:ascii="宋体" w:hAnsi="宋体" w:cs="宋体"/>
                <w:color w:val="auto"/>
                <w:sz w:val="30"/>
                <w:highlight w:val="none"/>
              </w:rPr>
            </w:pPr>
            <w:r>
              <w:rPr>
                <w:rFonts w:hint="eastAsia" w:ascii="宋体" w:hAnsi="宋体" w:cs="宋体"/>
                <w:color w:val="auto"/>
                <w:sz w:val="30"/>
                <w:highlight w:val="none"/>
              </w:rPr>
              <w:t xml:space="preserve">        202</w:t>
            </w:r>
            <w:r>
              <w:rPr>
                <w:rFonts w:hint="eastAsia" w:ascii="宋体" w:hAnsi="宋体" w:cs="宋体"/>
                <w:color w:val="auto"/>
                <w:sz w:val="30"/>
                <w:highlight w:val="none"/>
                <w:lang w:val="en-US" w:eastAsia="zh-CN"/>
              </w:rPr>
              <w:t>5</w:t>
            </w:r>
            <w:r>
              <w:rPr>
                <w:rFonts w:hint="eastAsia" w:ascii="宋体" w:hAnsi="宋体" w:cs="宋体"/>
                <w:color w:val="auto"/>
                <w:sz w:val="30"/>
                <w:highlight w:val="none"/>
              </w:rPr>
              <w:t>年</w:t>
            </w:r>
            <w:r>
              <w:rPr>
                <w:rFonts w:hint="eastAsia" w:ascii="宋体" w:hAnsi="宋体" w:cs="宋体"/>
                <w:color w:val="auto"/>
                <w:sz w:val="30"/>
                <w:highlight w:val="none"/>
                <w:lang w:val="en-US" w:eastAsia="zh-CN"/>
              </w:rPr>
              <w:t>6</w:t>
            </w:r>
            <w:r>
              <w:rPr>
                <w:rFonts w:hint="eastAsia" w:ascii="宋体" w:hAnsi="宋体" w:cs="宋体"/>
                <w:color w:val="auto"/>
                <w:sz w:val="30"/>
                <w:highlight w:val="none"/>
              </w:rPr>
              <w:t>月</w:t>
            </w:r>
          </w:p>
        </w:tc>
      </w:tr>
      <w:bookmarkEnd w:id="0"/>
      <w:bookmarkEnd w:id="1"/>
      <w:bookmarkEnd w:id="2"/>
      <w:bookmarkEnd w:id="3"/>
    </w:tbl>
    <w:p w14:paraId="3A3FF880">
      <w:pPr>
        <w:rPr>
          <w:rFonts w:ascii="宋体" w:hAnsi="宋体" w:cs="宋体"/>
          <w:color w:val="auto"/>
          <w:highlight w:val="none"/>
        </w:rPr>
      </w:pPr>
    </w:p>
    <w:sectPr>
      <w:pgSz w:w="11906" w:h="16838"/>
      <w:pgMar w:top="1134" w:right="1417" w:bottom="1134" w:left="1417" w:header="850" w:footer="992" w:gutter="0"/>
      <w:pgNumType w:fmt="decimal"/>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1" w:usb3="00000000" w:csb0="400001BF" w:csb1="DFF70000"/>
  </w:font>
  <w:font w:name="TimesNewRomanPS-BoldMT">
    <w:altName w:val="微软雅黑"/>
    <w:panose1 w:val="00000000000000000000"/>
    <w:charset w:val="00"/>
    <w:family w:val="roman"/>
    <w:pitch w:val="default"/>
    <w:sig w:usb0="00000000" w:usb1="00000000" w:usb2="00000001" w:usb3="00000000" w:csb0="400001BF" w:csb1="DFF7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0" w:usb3="00000000" w:csb0="2000019F" w:csb1="4F01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18B0F">
    <w:pPr>
      <w:pStyle w:val="17"/>
      <w:tabs>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0A5CDD1">
                          <w:pPr>
                            <w:pStyle w:val="17"/>
                            <w:rPr>
                              <w:rFonts w:ascii="黑体" w:hAnsi="黑体" w:eastAsia="黑体" w:cs="黑体"/>
                              <w:b/>
                              <w:bCs/>
                            </w:rPr>
                          </w:pPr>
                          <w:r>
                            <w:rPr>
                              <w:rFonts w:ascii="黑体" w:hAnsi="黑体" w:eastAsia="黑体" w:cs="黑体"/>
                              <w:b/>
                              <w:bCs/>
                            </w:rPr>
                            <w:t xml:space="preserve">第 </w:t>
                          </w:r>
                          <w:r>
                            <w:rPr>
                              <w:rFonts w:ascii="黑体" w:hAnsi="黑体" w:eastAsia="黑体" w:cs="黑体"/>
                              <w:b/>
                              <w:bCs/>
                            </w:rPr>
                            <w:fldChar w:fldCharType="begin"/>
                          </w:r>
                          <w:r>
                            <w:rPr>
                              <w:rFonts w:ascii="黑体" w:hAnsi="黑体" w:eastAsia="黑体" w:cs="黑体"/>
                              <w:b/>
                              <w:bCs/>
                            </w:rPr>
                            <w:instrText xml:space="preserve"> PAGE  \* MERGEFORMAT </w:instrText>
                          </w:r>
                          <w:r>
                            <w:rPr>
                              <w:rFonts w:ascii="黑体" w:hAnsi="黑体" w:eastAsia="黑体" w:cs="黑体"/>
                              <w:b/>
                              <w:bCs/>
                            </w:rPr>
                            <w:fldChar w:fldCharType="separate"/>
                          </w:r>
                          <w:r>
                            <w:rPr>
                              <w:rFonts w:ascii="黑体" w:hAnsi="黑体" w:eastAsia="黑体" w:cs="黑体"/>
                              <w:b/>
                              <w:bCs/>
                            </w:rPr>
                            <w:t>1</w:t>
                          </w:r>
                          <w:r>
                            <w:rPr>
                              <w:rFonts w:ascii="黑体" w:hAnsi="黑体" w:eastAsia="黑体" w:cs="黑体"/>
                              <w:b/>
                              <w:bCs/>
                            </w:rPr>
                            <w:fldChar w:fldCharType="end"/>
                          </w:r>
                          <w:r>
                            <w:rPr>
                              <w:rFonts w:ascii="黑体" w:hAnsi="黑体" w:eastAsia="黑体" w:cs="黑体"/>
                              <w:b/>
                              <w:bCs/>
                            </w:rPr>
                            <w:t xml:space="preserve"> 页</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OUWXjfNAQAAmgMAAA4AAAAAAAAAAQAgAAAAIgEAAGRy&#10;cy9lMm9Eb2MueG1sUEsFBgAAAAAGAAYAWQEAAGEFAAAAAA==&#10;">
              <v:fill on="f" focussize="0,0"/>
              <v:stroke on="f" weight="1.25pt"/>
              <v:imagedata o:title=""/>
              <o:lock v:ext="edit" aspectratio="f"/>
              <v:textbox inset="0mm,0mm,0mm,0mm" style="mso-fit-shape-to-text:t;">
                <w:txbxContent>
                  <w:p w14:paraId="60A5CDD1">
                    <w:pPr>
                      <w:pStyle w:val="17"/>
                      <w:rPr>
                        <w:rFonts w:ascii="黑体" w:hAnsi="黑体" w:eastAsia="黑体" w:cs="黑体"/>
                        <w:b/>
                        <w:bCs/>
                      </w:rPr>
                    </w:pPr>
                    <w:r>
                      <w:rPr>
                        <w:rFonts w:ascii="黑体" w:hAnsi="黑体" w:eastAsia="黑体" w:cs="黑体"/>
                        <w:b/>
                        <w:bCs/>
                      </w:rPr>
                      <w:t xml:space="preserve">第 </w:t>
                    </w:r>
                    <w:r>
                      <w:rPr>
                        <w:rFonts w:ascii="黑体" w:hAnsi="黑体" w:eastAsia="黑体" w:cs="黑体"/>
                        <w:b/>
                        <w:bCs/>
                      </w:rPr>
                      <w:fldChar w:fldCharType="begin"/>
                    </w:r>
                    <w:r>
                      <w:rPr>
                        <w:rFonts w:ascii="黑体" w:hAnsi="黑体" w:eastAsia="黑体" w:cs="黑体"/>
                        <w:b/>
                        <w:bCs/>
                      </w:rPr>
                      <w:instrText xml:space="preserve"> PAGE  \* MERGEFORMAT </w:instrText>
                    </w:r>
                    <w:r>
                      <w:rPr>
                        <w:rFonts w:ascii="黑体" w:hAnsi="黑体" w:eastAsia="黑体" w:cs="黑体"/>
                        <w:b/>
                        <w:bCs/>
                      </w:rPr>
                      <w:fldChar w:fldCharType="separate"/>
                    </w:r>
                    <w:r>
                      <w:rPr>
                        <w:rFonts w:ascii="黑体" w:hAnsi="黑体" w:eastAsia="黑体" w:cs="黑体"/>
                        <w:b/>
                        <w:bCs/>
                      </w:rPr>
                      <w:t>1</w:t>
                    </w:r>
                    <w:r>
                      <w:rPr>
                        <w:rFonts w:ascii="黑体" w:hAnsi="黑体" w:eastAsia="黑体" w:cs="黑体"/>
                        <w:b/>
                        <w:bCs/>
                      </w:rPr>
                      <w:fldChar w:fldCharType="end"/>
                    </w:r>
                    <w:r>
                      <w:rPr>
                        <w:rFonts w:ascii="黑体" w:hAnsi="黑体" w:eastAsia="黑体" w:cs="黑体"/>
                        <w:b/>
                        <w:bCs/>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9E185">
    <w:pPr>
      <w:snapToGrid w:val="0"/>
      <w:jc w:val="left"/>
      <w:rPr>
        <w:sz w:val="18"/>
      </w:rPr>
    </w:pPr>
    <w:r>
      <w:rPr>
        <w:sz w:val="18"/>
      </w:rPr>
      <mc:AlternateContent>
        <mc:Choice Requires="wps">
          <w:drawing>
            <wp:anchor distT="0" distB="0" distL="114300" distR="114300" simplePos="0" relativeHeight="251663360" behindDoc="0" locked="0" layoutInCell="1" allowOverlap="1">
              <wp:simplePos x="0" y="0"/>
              <wp:positionH relativeFrom="margin">
                <wp:posOffset>2421255</wp:posOffset>
              </wp:positionH>
              <wp:positionV relativeFrom="paragraph">
                <wp:posOffset>0</wp:posOffset>
              </wp:positionV>
              <wp:extent cx="1099820" cy="17145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1099820" cy="171450"/>
                      </a:xfrm>
                      <a:prstGeom prst="rect">
                        <a:avLst/>
                      </a:prstGeom>
                      <a:noFill/>
                      <a:ln>
                        <a:noFill/>
                      </a:ln>
                    </wps:spPr>
                    <wps:txbx>
                      <w:txbxContent>
                        <w:p w14:paraId="1257B64A">
                          <w:pPr>
                            <w:pStyle w:val="17"/>
                            <w:rPr>
                              <w:rFonts w:ascii="黑体" w:hAnsi="黑体" w:eastAsia="黑体" w:cs="黑体"/>
                              <w:b/>
                              <w:bCs/>
                            </w:rPr>
                          </w:pPr>
                          <w:r>
                            <w:rPr>
                              <w:rFonts w:ascii="黑体" w:hAnsi="黑体" w:eastAsia="黑体" w:cs="黑体"/>
                              <w:b/>
                              <w:bCs/>
                            </w:rPr>
                            <w:t xml:space="preserve">第 </w:t>
                          </w:r>
                          <w:r>
                            <w:rPr>
                              <w:rFonts w:ascii="黑体" w:hAnsi="黑体" w:eastAsia="黑体" w:cs="黑体"/>
                              <w:b/>
                              <w:bCs/>
                            </w:rPr>
                            <w:fldChar w:fldCharType="begin"/>
                          </w:r>
                          <w:r>
                            <w:rPr>
                              <w:rFonts w:ascii="黑体" w:hAnsi="黑体" w:eastAsia="黑体" w:cs="黑体"/>
                              <w:b/>
                              <w:bCs/>
                            </w:rPr>
                            <w:instrText xml:space="preserve"> PAGE  \* MERGEFORMAT </w:instrText>
                          </w:r>
                          <w:r>
                            <w:rPr>
                              <w:rFonts w:ascii="黑体" w:hAnsi="黑体" w:eastAsia="黑体" w:cs="黑体"/>
                              <w:b/>
                              <w:bCs/>
                            </w:rPr>
                            <w:fldChar w:fldCharType="separate"/>
                          </w:r>
                          <w:r>
                            <w:rPr>
                              <w:rFonts w:ascii="黑体" w:hAnsi="黑体" w:eastAsia="黑体" w:cs="黑体"/>
                              <w:b/>
                              <w:bCs/>
                            </w:rPr>
                            <w:t>5</w:t>
                          </w:r>
                          <w:r>
                            <w:rPr>
                              <w:rFonts w:ascii="黑体" w:hAnsi="黑体" w:eastAsia="黑体" w:cs="黑体"/>
                              <w:b/>
                              <w:bCs/>
                            </w:rPr>
                            <w:fldChar w:fldCharType="end"/>
                          </w:r>
                          <w:r>
                            <w:rPr>
                              <w:rFonts w:ascii="黑体" w:hAnsi="黑体" w:eastAsia="黑体" w:cs="黑体"/>
                              <w:b/>
                              <w:bCs/>
                            </w:rPr>
                            <w:t xml:space="preserve"> 页</w:t>
                          </w:r>
                        </w:p>
                      </w:txbxContent>
                    </wps:txbx>
                    <wps:bodyPr lIns="0" tIns="0" rIns="0" bIns="0"/>
                  </wps:wsp>
                </a:graphicData>
              </a:graphic>
            </wp:anchor>
          </w:drawing>
        </mc:Choice>
        <mc:Fallback>
          <w:pict>
            <v:shape id="文本框 1027" o:spid="_x0000_s1026" o:spt="202" type="#_x0000_t202" style="position:absolute;left:0pt;margin-left:190.65pt;margin-top:0pt;height:13.5pt;width:86.6pt;mso-position-horizontal-relative:margin;z-index:251663360;mso-width-relative:page;mso-height-relative:page;" filled="f" stroked="f" coordsize="21600,21600" o:gfxdata="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y10BdcAAAAHAQAADwAAAAAAAAABACAAAAAiAAAAZHJzL2Rvd25yZXYueG1sUEsBAhQAFAAA&#10;AAgAh07iQC/AwkO3AQAAaQMAAA4AAAAAAAAAAQAgAAAAJgEAAGRycy9lMm9Eb2MueG1sUEsFBgAA&#10;AAAGAAYAWQEAAE8FAAAAAA==&#10;">
              <v:fill on="f" focussize="0,0"/>
              <v:stroke on="f"/>
              <v:imagedata o:title=""/>
              <o:lock v:ext="edit" aspectratio="f"/>
              <v:textbox inset="0mm,0mm,0mm,0mm">
                <w:txbxContent>
                  <w:p w14:paraId="1257B64A">
                    <w:pPr>
                      <w:pStyle w:val="17"/>
                      <w:rPr>
                        <w:rFonts w:ascii="黑体" w:hAnsi="黑体" w:eastAsia="黑体" w:cs="黑体"/>
                        <w:b/>
                        <w:bCs/>
                      </w:rPr>
                    </w:pPr>
                    <w:r>
                      <w:rPr>
                        <w:rFonts w:ascii="黑体" w:hAnsi="黑体" w:eastAsia="黑体" w:cs="黑体"/>
                        <w:b/>
                        <w:bCs/>
                      </w:rPr>
                      <w:t xml:space="preserve">第 </w:t>
                    </w:r>
                    <w:r>
                      <w:rPr>
                        <w:rFonts w:ascii="黑体" w:hAnsi="黑体" w:eastAsia="黑体" w:cs="黑体"/>
                        <w:b/>
                        <w:bCs/>
                      </w:rPr>
                      <w:fldChar w:fldCharType="begin"/>
                    </w:r>
                    <w:r>
                      <w:rPr>
                        <w:rFonts w:ascii="黑体" w:hAnsi="黑体" w:eastAsia="黑体" w:cs="黑体"/>
                        <w:b/>
                        <w:bCs/>
                      </w:rPr>
                      <w:instrText xml:space="preserve"> PAGE  \* MERGEFORMAT </w:instrText>
                    </w:r>
                    <w:r>
                      <w:rPr>
                        <w:rFonts w:ascii="黑体" w:hAnsi="黑体" w:eastAsia="黑体" w:cs="黑体"/>
                        <w:b/>
                        <w:bCs/>
                      </w:rPr>
                      <w:fldChar w:fldCharType="separate"/>
                    </w:r>
                    <w:r>
                      <w:rPr>
                        <w:rFonts w:ascii="黑体" w:hAnsi="黑体" w:eastAsia="黑体" w:cs="黑体"/>
                        <w:b/>
                        <w:bCs/>
                      </w:rPr>
                      <w:t>5</w:t>
                    </w:r>
                    <w:r>
                      <w:rPr>
                        <w:rFonts w:ascii="黑体" w:hAnsi="黑体" w:eastAsia="黑体" w:cs="黑体"/>
                        <w:b/>
                        <w:bCs/>
                      </w:rPr>
                      <w:fldChar w:fldCharType="end"/>
                    </w:r>
                    <w:r>
                      <w:rPr>
                        <w:rFonts w:ascii="黑体" w:hAnsi="黑体" w:eastAsia="黑体" w:cs="黑体"/>
                        <w:b/>
                        <w:bCs/>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751E3">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A18D9">
                          <w:pPr>
                            <w:pStyle w:val="17"/>
                            <w:rPr>
                              <w:rFonts w:ascii="黑体" w:hAnsi="黑体" w:eastAsia="黑体" w:cs="黑体"/>
                              <w:b/>
                              <w:bCs/>
                            </w:rPr>
                          </w:pPr>
                          <w:r>
                            <w:rPr>
                              <w:rFonts w:hint="eastAsia" w:ascii="黑体" w:hAnsi="黑体" w:eastAsia="黑体" w:cs="黑体"/>
                              <w:b/>
                              <w:bCs/>
                            </w:rPr>
                            <w:t xml:space="preserve">第 </w:t>
                          </w:r>
                          <w:r>
                            <w:rPr>
                              <w:rFonts w:hint="eastAsia" w:ascii="黑体" w:hAnsi="黑体" w:eastAsia="黑体" w:cs="黑体"/>
                              <w:b/>
                              <w:bCs/>
                            </w:rPr>
                            <w:fldChar w:fldCharType="begin"/>
                          </w:r>
                          <w:r>
                            <w:rPr>
                              <w:rFonts w:hint="eastAsia" w:ascii="黑体" w:hAnsi="黑体" w:eastAsia="黑体" w:cs="黑体"/>
                              <w:b/>
                              <w:bCs/>
                            </w:rPr>
                            <w:instrText xml:space="preserve"> PAGE  \* MERGEFORMAT </w:instrText>
                          </w:r>
                          <w:r>
                            <w:rPr>
                              <w:rFonts w:hint="eastAsia" w:ascii="黑体" w:hAnsi="黑体" w:eastAsia="黑体" w:cs="黑体"/>
                              <w:b/>
                              <w:bCs/>
                            </w:rPr>
                            <w:fldChar w:fldCharType="separate"/>
                          </w:r>
                          <w:r>
                            <w:rPr>
                              <w:rFonts w:hint="eastAsia" w:ascii="黑体" w:hAnsi="黑体" w:eastAsia="黑体" w:cs="黑体"/>
                              <w:b/>
                              <w:bCs/>
                            </w:rPr>
                            <w:t>1</w:t>
                          </w:r>
                          <w:r>
                            <w:rPr>
                              <w:rFonts w:hint="eastAsia" w:ascii="黑体" w:hAnsi="黑体" w:eastAsia="黑体" w:cs="黑体"/>
                              <w:b/>
                              <w:bCs/>
                            </w:rPr>
                            <w:fldChar w:fldCharType="end"/>
                          </w:r>
                          <w:r>
                            <w:rPr>
                              <w:rFonts w:hint="eastAsia" w:ascii="黑体" w:hAnsi="黑体" w:eastAsia="黑体" w:cs="黑体"/>
                              <w:b/>
                              <w:bCs/>
                            </w:rPr>
                            <w:t xml:space="preserve"> 页 共 </w:t>
                          </w:r>
                          <w:r>
                            <w:rPr>
                              <w:rFonts w:hint="eastAsia" w:ascii="黑体" w:hAnsi="黑体" w:eastAsia="黑体" w:cs="黑体"/>
                              <w:b/>
                              <w:bCs/>
                            </w:rPr>
                            <w:fldChar w:fldCharType="begin"/>
                          </w:r>
                          <w:r>
                            <w:rPr>
                              <w:rFonts w:hint="eastAsia" w:ascii="黑体" w:hAnsi="黑体" w:eastAsia="黑体" w:cs="黑体"/>
                              <w:b/>
                              <w:bCs/>
                            </w:rPr>
                            <w:instrText xml:space="preserve"> NUMPAGES  \* MERGEFORMAT </w:instrText>
                          </w:r>
                          <w:r>
                            <w:rPr>
                              <w:rFonts w:hint="eastAsia" w:ascii="黑体" w:hAnsi="黑体" w:eastAsia="黑体" w:cs="黑体"/>
                              <w:b/>
                              <w:bCs/>
                            </w:rPr>
                            <w:fldChar w:fldCharType="separate"/>
                          </w:r>
                          <w:r>
                            <w:rPr>
                              <w:rFonts w:hint="eastAsia" w:ascii="黑体" w:hAnsi="黑体" w:eastAsia="黑体" w:cs="黑体"/>
                              <w:b/>
                              <w:bCs/>
                            </w:rPr>
                            <w:t>53</w:t>
                          </w:r>
                          <w:r>
                            <w:rPr>
                              <w:rFonts w:hint="eastAsia" w:ascii="黑体" w:hAnsi="黑体" w:eastAsia="黑体" w:cs="黑体"/>
                              <w:b/>
                              <w:bCs/>
                            </w:rPr>
                            <w:fldChar w:fldCharType="end"/>
                          </w:r>
                          <w:r>
                            <w:rPr>
                              <w:rFonts w:hint="eastAsia" w:ascii="黑体" w:hAnsi="黑体" w:eastAsia="黑体" w:cs="黑体"/>
                              <w:b/>
                              <w:bCs/>
                            </w:rPr>
                            <w:t xml:space="preserve"> 页</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UR0j8QBAACQAwAADgAAAAAAAAABACAAAAAeAQAAZHJzL2Uyb0RvYy54bWxQ&#10;SwUGAAAAAAYABgBZAQAAVAUAAAAA&#10;">
              <v:fill on="f" focussize="0,0"/>
              <v:stroke on="f"/>
              <v:imagedata o:title=""/>
              <o:lock v:ext="edit" aspectratio="f"/>
              <v:textbox inset="0mm,0mm,0mm,0mm" style="mso-fit-shape-to-text:t;">
                <w:txbxContent>
                  <w:p w14:paraId="472A18D9">
                    <w:pPr>
                      <w:pStyle w:val="17"/>
                      <w:rPr>
                        <w:rFonts w:ascii="黑体" w:hAnsi="黑体" w:eastAsia="黑体" w:cs="黑体"/>
                        <w:b/>
                        <w:bCs/>
                      </w:rPr>
                    </w:pPr>
                    <w:r>
                      <w:rPr>
                        <w:rFonts w:hint="eastAsia" w:ascii="黑体" w:hAnsi="黑体" w:eastAsia="黑体" w:cs="黑体"/>
                        <w:b/>
                        <w:bCs/>
                      </w:rPr>
                      <w:t xml:space="preserve">第 </w:t>
                    </w:r>
                    <w:r>
                      <w:rPr>
                        <w:rFonts w:hint="eastAsia" w:ascii="黑体" w:hAnsi="黑体" w:eastAsia="黑体" w:cs="黑体"/>
                        <w:b/>
                        <w:bCs/>
                      </w:rPr>
                      <w:fldChar w:fldCharType="begin"/>
                    </w:r>
                    <w:r>
                      <w:rPr>
                        <w:rFonts w:hint="eastAsia" w:ascii="黑体" w:hAnsi="黑体" w:eastAsia="黑体" w:cs="黑体"/>
                        <w:b/>
                        <w:bCs/>
                      </w:rPr>
                      <w:instrText xml:space="preserve"> PAGE  \* MERGEFORMAT </w:instrText>
                    </w:r>
                    <w:r>
                      <w:rPr>
                        <w:rFonts w:hint="eastAsia" w:ascii="黑体" w:hAnsi="黑体" w:eastAsia="黑体" w:cs="黑体"/>
                        <w:b/>
                        <w:bCs/>
                      </w:rPr>
                      <w:fldChar w:fldCharType="separate"/>
                    </w:r>
                    <w:r>
                      <w:rPr>
                        <w:rFonts w:hint="eastAsia" w:ascii="黑体" w:hAnsi="黑体" w:eastAsia="黑体" w:cs="黑体"/>
                        <w:b/>
                        <w:bCs/>
                      </w:rPr>
                      <w:t>1</w:t>
                    </w:r>
                    <w:r>
                      <w:rPr>
                        <w:rFonts w:hint="eastAsia" w:ascii="黑体" w:hAnsi="黑体" w:eastAsia="黑体" w:cs="黑体"/>
                        <w:b/>
                        <w:bCs/>
                      </w:rPr>
                      <w:fldChar w:fldCharType="end"/>
                    </w:r>
                    <w:r>
                      <w:rPr>
                        <w:rFonts w:hint="eastAsia" w:ascii="黑体" w:hAnsi="黑体" w:eastAsia="黑体" w:cs="黑体"/>
                        <w:b/>
                        <w:bCs/>
                      </w:rPr>
                      <w:t xml:space="preserve"> 页 共 </w:t>
                    </w:r>
                    <w:r>
                      <w:rPr>
                        <w:rFonts w:hint="eastAsia" w:ascii="黑体" w:hAnsi="黑体" w:eastAsia="黑体" w:cs="黑体"/>
                        <w:b/>
                        <w:bCs/>
                      </w:rPr>
                      <w:fldChar w:fldCharType="begin"/>
                    </w:r>
                    <w:r>
                      <w:rPr>
                        <w:rFonts w:hint="eastAsia" w:ascii="黑体" w:hAnsi="黑体" w:eastAsia="黑体" w:cs="黑体"/>
                        <w:b/>
                        <w:bCs/>
                      </w:rPr>
                      <w:instrText xml:space="preserve"> NUMPAGES  \* MERGEFORMAT </w:instrText>
                    </w:r>
                    <w:r>
                      <w:rPr>
                        <w:rFonts w:hint="eastAsia" w:ascii="黑体" w:hAnsi="黑体" w:eastAsia="黑体" w:cs="黑体"/>
                        <w:b/>
                        <w:bCs/>
                      </w:rPr>
                      <w:fldChar w:fldCharType="separate"/>
                    </w:r>
                    <w:r>
                      <w:rPr>
                        <w:rFonts w:hint="eastAsia" w:ascii="黑体" w:hAnsi="黑体" w:eastAsia="黑体" w:cs="黑体"/>
                        <w:b/>
                        <w:bCs/>
                      </w:rPr>
                      <w:t>53</w:t>
                    </w:r>
                    <w:r>
                      <w:rPr>
                        <w:rFonts w:hint="eastAsia" w:ascii="黑体" w:hAnsi="黑体" w:eastAsia="黑体" w:cs="黑体"/>
                        <w:b/>
                        <w:bCs/>
                      </w:rPr>
                      <w:fldChar w:fldCharType="end"/>
                    </w:r>
                    <w:r>
                      <w:rPr>
                        <w:rFonts w:hint="eastAsia" w:ascii="黑体" w:hAnsi="黑体" w:eastAsia="黑体" w:cs="黑体"/>
                        <w:b/>
                        <w:bCs/>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BAB3A">
    <w:pPr>
      <w:pStyle w:val="17"/>
      <w:ind w:right="360"/>
      <w:jc w:val="both"/>
      <w:rPr>
        <w:kern w:val="0"/>
        <w:szCs w:val="21"/>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300FF7C">
                          <w:pPr>
                            <w:pStyle w:val="17"/>
                            <w:rPr>
                              <w:rFonts w:ascii="黑体" w:hAnsi="黑体" w:eastAsia="黑体" w:cs="黑体"/>
                              <w:b/>
                              <w:bCs/>
                            </w:rPr>
                          </w:pPr>
                          <w:r>
                            <w:rPr>
                              <w:rFonts w:ascii="黑体" w:hAnsi="黑体" w:eastAsia="黑体" w:cs="黑体"/>
                              <w:b/>
                              <w:bCs/>
                            </w:rPr>
                            <w:t xml:space="preserve">第 </w:t>
                          </w:r>
                          <w:r>
                            <w:rPr>
                              <w:rFonts w:ascii="黑体" w:hAnsi="黑体" w:eastAsia="黑体" w:cs="黑体"/>
                              <w:b/>
                              <w:bCs/>
                            </w:rPr>
                            <w:fldChar w:fldCharType="begin"/>
                          </w:r>
                          <w:r>
                            <w:rPr>
                              <w:rFonts w:ascii="黑体" w:hAnsi="黑体" w:eastAsia="黑体" w:cs="黑体"/>
                              <w:b/>
                              <w:bCs/>
                            </w:rPr>
                            <w:instrText xml:space="preserve"> PAGE  \* MERGEFORMAT </w:instrText>
                          </w:r>
                          <w:r>
                            <w:rPr>
                              <w:rFonts w:ascii="黑体" w:hAnsi="黑体" w:eastAsia="黑体" w:cs="黑体"/>
                              <w:b/>
                              <w:bCs/>
                            </w:rPr>
                            <w:fldChar w:fldCharType="separate"/>
                          </w:r>
                          <w:r>
                            <w:rPr>
                              <w:rFonts w:ascii="黑体" w:hAnsi="黑体" w:eastAsia="黑体" w:cs="黑体"/>
                              <w:b/>
                              <w:bCs/>
                            </w:rPr>
                            <w:t>16</w:t>
                          </w:r>
                          <w:r>
                            <w:rPr>
                              <w:rFonts w:ascii="黑体" w:hAnsi="黑体" w:eastAsia="黑体" w:cs="黑体"/>
                              <w:b/>
                              <w:bCs/>
                            </w:rPr>
                            <w:fldChar w:fldCharType="end"/>
                          </w:r>
                          <w:r>
                            <w:rPr>
                              <w:rFonts w:ascii="黑体" w:hAnsi="黑体" w:eastAsia="黑体" w:cs="黑体"/>
                              <w:b/>
                              <w:bCs/>
                            </w:rPr>
                            <w:t xml:space="preserve"> 页</w:t>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hhOP/OAQAAmg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mhLLDA78/PvX+c+/&#10;89+fZFmu3iWFeg81Jt56TI3DBzfg3sz3gJeJ+CCDSV+kRDCO+p4u+oohEp4eVauqKjHEMTY7iF/c&#10;P/cB4kfhDElGQwMOMOvKjp8hjqlzSqpm3Y3SOg9RW9Ij6lX19iq/uIQQXVsskliM3SYrDrthorZz&#10;7QmZ9bgFDbW49JToTxZFTgszG2E2dpORyoN/f4jYQu4soY5QUzEcWeY2rVfaif/9nHX/S23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hpgkvTAAAABQEAAA8AAAAAAAAAAQAgAAAAIgAAAGRycy9k&#10;b3ducmV2LnhtbFBLAQIUABQAAAAIAIdO4kBoYTj/zgEAAJoDAAAOAAAAAAAAAAEAIAAAACIBAABk&#10;cnMvZTJvRG9jLnhtbFBLBQYAAAAABgAGAFkBAABiBQAAAAA=&#10;">
              <v:fill on="f" focussize="0,0"/>
              <v:stroke on="f" weight="1.25pt"/>
              <v:imagedata o:title=""/>
              <o:lock v:ext="edit" aspectratio="f"/>
              <v:textbox inset="0mm,0mm,0mm,0mm" style="mso-fit-shape-to-text:t;">
                <w:txbxContent>
                  <w:p w14:paraId="3300FF7C">
                    <w:pPr>
                      <w:pStyle w:val="17"/>
                      <w:rPr>
                        <w:rFonts w:ascii="黑体" w:hAnsi="黑体" w:eastAsia="黑体" w:cs="黑体"/>
                        <w:b/>
                        <w:bCs/>
                      </w:rPr>
                    </w:pPr>
                    <w:r>
                      <w:rPr>
                        <w:rFonts w:ascii="黑体" w:hAnsi="黑体" w:eastAsia="黑体" w:cs="黑体"/>
                        <w:b/>
                        <w:bCs/>
                      </w:rPr>
                      <w:t xml:space="preserve">第 </w:t>
                    </w:r>
                    <w:r>
                      <w:rPr>
                        <w:rFonts w:ascii="黑体" w:hAnsi="黑体" w:eastAsia="黑体" w:cs="黑体"/>
                        <w:b/>
                        <w:bCs/>
                      </w:rPr>
                      <w:fldChar w:fldCharType="begin"/>
                    </w:r>
                    <w:r>
                      <w:rPr>
                        <w:rFonts w:ascii="黑体" w:hAnsi="黑体" w:eastAsia="黑体" w:cs="黑体"/>
                        <w:b/>
                        <w:bCs/>
                      </w:rPr>
                      <w:instrText xml:space="preserve"> PAGE  \* MERGEFORMAT </w:instrText>
                    </w:r>
                    <w:r>
                      <w:rPr>
                        <w:rFonts w:ascii="黑体" w:hAnsi="黑体" w:eastAsia="黑体" w:cs="黑体"/>
                        <w:b/>
                        <w:bCs/>
                      </w:rPr>
                      <w:fldChar w:fldCharType="separate"/>
                    </w:r>
                    <w:r>
                      <w:rPr>
                        <w:rFonts w:ascii="黑体" w:hAnsi="黑体" w:eastAsia="黑体" w:cs="黑体"/>
                        <w:b/>
                        <w:bCs/>
                      </w:rPr>
                      <w:t>16</w:t>
                    </w:r>
                    <w:r>
                      <w:rPr>
                        <w:rFonts w:ascii="黑体" w:hAnsi="黑体" w:eastAsia="黑体" w:cs="黑体"/>
                        <w:b/>
                        <w:bCs/>
                      </w:rPr>
                      <w:fldChar w:fldCharType="end"/>
                    </w:r>
                    <w:r>
                      <w:rPr>
                        <w:rFonts w:ascii="黑体" w:hAnsi="黑体" w:eastAsia="黑体" w:cs="黑体"/>
                        <w:b/>
                        <w:bCs/>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1E41C">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57885" cy="147955"/>
              <wp:effectExtent l="0" t="0" r="0" b="0"/>
              <wp:wrapNone/>
              <wp:docPr id="2" name="文本框 4"/>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a:noFill/>
                      </a:ln>
                    </wps:spPr>
                    <wps:txbx>
                      <w:txbxContent>
                        <w:p w14:paraId="6D83BCC1">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25页</w:t>
                          </w:r>
                        </w:p>
                      </w:txbxContent>
                    </wps:txbx>
                    <wps:bodyPr wrap="none" lIns="0" tIns="0" rIns="0" bIns="0">
                      <a:spAutoFit/>
                    </wps:bodyPr>
                  </wps:wsp>
                </a:graphicData>
              </a:graphic>
            </wp:anchor>
          </w:drawing>
        </mc:Choice>
        <mc:Fallback>
          <w:pict>
            <v:shape id="文本框 4" o:spid="_x0000_s1026" o:spt="202" type="#_x0000_t202" style="position:absolute;left:0pt;margin-top:0pt;height:11.65pt;width:67.55pt;mso-position-horizontal:center;mso-position-horizontal-relative:margin;mso-wrap-style:none;z-index:251660288;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Q3lE0gAAAAQBAAAPAAAAAAAAAAEAIAAAACIAAABkcnMvZG93bnJldi54&#10;bWxQSwECFAAUAAAACACHTuJASMAUvccBAACLAwAADgAAAAAAAAABACAAAAAhAQAAZHJzL2Uyb0Rv&#10;Yy54bWxQSwUGAAAAAAYABgBZAQAAWgUAAAAA&#10;">
              <v:fill on="f" focussize="0,0"/>
              <v:stroke on="f"/>
              <v:imagedata o:title=""/>
              <o:lock v:ext="edit" aspectratio="f"/>
              <v:textbox inset="0mm,0mm,0mm,0mm" style="mso-fit-shape-to-text:t;">
                <w:txbxContent>
                  <w:p w14:paraId="6D83BCC1">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25页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9C830">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EC9EC"/>
    <w:multiLevelType w:val="singleLevel"/>
    <w:tmpl w:val="ADBEC9EC"/>
    <w:lvl w:ilvl="0" w:tentative="0">
      <w:start w:val="7"/>
      <w:numFmt w:val="decimal"/>
      <w:suff w:val="space"/>
      <w:lvlText w:val="%1、"/>
      <w:lvlJc w:val="left"/>
    </w:lvl>
  </w:abstractNum>
  <w:abstractNum w:abstractNumId="1">
    <w:nsid w:val="EE4ECC02"/>
    <w:multiLevelType w:val="singleLevel"/>
    <w:tmpl w:val="EE4ECC02"/>
    <w:lvl w:ilvl="0" w:tentative="0">
      <w:start w:val="1"/>
      <w:numFmt w:val="decimal"/>
      <w:suff w:val="nothing"/>
      <w:lvlText w:val="（%1）"/>
      <w:lvlJc w:val="left"/>
    </w:lvl>
  </w:abstractNum>
  <w:abstractNum w:abstractNumId="2">
    <w:nsid w:val="58E8E588"/>
    <w:multiLevelType w:val="singleLevel"/>
    <w:tmpl w:val="58E8E588"/>
    <w:lvl w:ilvl="0" w:tentative="0">
      <w:start w:val="1"/>
      <w:numFmt w:val="decimal"/>
      <w:lvlText w:val="%1."/>
      <w:lvlJc w:val="left"/>
      <w:pPr>
        <w:ind w:left="425" w:hanging="425"/>
      </w:pPr>
      <w:rPr>
        <w:rFonts w:hint="default"/>
      </w:rPr>
    </w:lvl>
  </w:abstractNum>
  <w:abstractNum w:abstractNumId="3">
    <w:nsid w:val="74383686"/>
    <w:multiLevelType w:val="singleLevel"/>
    <w:tmpl w:val="74383686"/>
    <w:lvl w:ilvl="0" w:tentative="0">
      <w:start w:val="3"/>
      <w:numFmt w:val="chineseCounting"/>
      <w:suff w:val="space"/>
      <w:lvlText w:val="第%1章"/>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2"/>
  <w:drawingGridVerticalSpacing w:val="162"/>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kMDI5NmRmNTRjMjhlM2NmOWJlMTU4YTU0MWZmNGEifQ=="/>
  </w:docVars>
  <w:rsids>
    <w:rsidRoot w:val="0038170E"/>
    <w:rsid w:val="0000026B"/>
    <w:rsid w:val="00001462"/>
    <w:rsid w:val="000014C0"/>
    <w:rsid w:val="00001779"/>
    <w:rsid w:val="00001EED"/>
    <w:rsid w:val="0000265A"/>
    <w:rsid w:val="00002937"/>
    <w:rsid w:val="000032C8"/>
    <w:rsid w:val="00006578"/>
    <w:rsid w:val="00007982"/>
    <w:rsid w:val="00007A55"/>
    <w:rsid w:val="0001059F"/>
    <w:rsid w:val="000108ED"/>
    <w:rsid w:val="00010CA6"/>
    <w:rsid w:val="00010CCD"/>
    <w:rsid w:val="00010EA5"/>
    <w:rsid w:val="00011E33"/>
    <w:rsid w:val="00012101"/>
    <w:rsid w:val="00013337"/>
    <w:rsid w:val="00013ACB"/>
    <w:rsid w:val="000145C1"/>
    <w:rsid w:val="000162EB"/>
    <w:rsid w:val="00017BDB"/>
    <w:rsid w:val="00017D43"/>
    <w:rsid w:val="000203D9"/>
    <w:rsid w:val="000205E0"/>
    <w:rsid w:val="00020903"/>
    <w:rsid w:val="00023CCF"/>
    <w:rsid w:val="000275D4"/>
    <w:rsid w:val="00027C35"/>
    <w:rsid w:val="00031228"/>
    <w:rsid w:val="00031915"/>
    <w:rsid w:val="00032766"/>
    <w:rsid w:val="00032A31"/>
    <w:rsid w:val="00033028"/>
    <w:rsid w:val="000345D9"/>
    <w:rsid w:val="00034848"/>
    <w:rsid w:val="0003501F"/>
    <w:rsid w:val="00036C65"/>
    <w:rsid w:val="000415FD"/>
    <w:rsid w:val="00041939"/>
    <w:rsid w:val="000419EC"/>
    <w:rsid w:val="00042249"/>
    <w:rsid w:val="0004305E"/>
    <w:rsid w:val="00043076"/>
    <w:rsid w:val="00043C98"/>
    <w:rsid w:val="00045A4E"/>
    <w:rsid w:val="00045A6F"/>
    <w:rsid w:val="00046DF3"/>
    <w:rsid w:val="000472C4"/>
    <w:rsid w:val="000475E9"/>
    <w:rsid w:val="0004764B"/>
    <w:rsid w:val="000479B9"/>
    <w:rsid w:val="00047D86"/>
    <w:rsid w:val="0005185E"/>
    <w:rsid w:val="000521A9"/>
    <w:rsid w:val="00052FCA"/>
    <w:rsid w:val="00053369"/>
    <w:rsid w:val="000533A9"/>
    <w:rsid w:val="0005362C"/>
    <w:rsid w:val="000539DE"/>
    <w:rsid w:val="00053A5A"/>
    <w:rsid w:val="00053BB4"/>
    <w:rsid w:val="000540F9"/>
    <w:rsid w:val="00055C4A"/>
    <w:rsid w:val="00056A7D"/>
    <w:rsid w:val="00056F2F"/>
    <w:rsid w:val="000577BD"/>
    <w:rsid w:val="00057AB6"/>
    <w:rsid w:val="00060E82"/>
    <w:rsid w:val="000620D0"/>
    <w:rsid w:val="00063E24"/>
    <w:rsid w:val="0006578C"/>
    <w:rsid w:val="0006687E"/>
    <w:rsid w:val="00066BF8"/>
    <w:rsid w:val="000719A0"/>
    <w:rsid w:val="00072653"/>
    <w:rsid w:val="000729AD"/>
    <w:rsid w:val="00072CF9"/>
    <w:rsid w:val="00075760"/>
    <w:rsid w:val="000758A6"/>
    <w:rsid w:val="000763B0"/>
    <w:rsid w:val="00077412"/>
    <w:rsid w:val="00077EFA"/>
    <w:rsid w:val="000828E5"/>
    <w:rsid w:val="000829E5"/>
    <w:rsid w:val="00083075"/>
    <w:rsid w:val="0008325F"/>
    <w:rsid w:val="00083A28"/>
    <w:rsid w:val="00083B38"/>
    <w:rsid w:val="00084560"/>
    <w:rsid w:val="00086541"/>
    <w:rsid w:val="00086BFE"/>
    <w:rsid w:val="00086C2C"/>
    <w:rsid w:val="00087499"/>
    <w:rsid w:val="0009043F"/>
    <w:rsid w:val="00090742"/>
    <w:rsid w:val="00091980"/>
    <w:rsid w:val="00092A9B"/>
    <w:rsid w:val="00094223"/>
    <w:rsid w:val="00094437"/>
    <w:rsid w:val="000946F3"/>
    <w:rsid w:val="000950C6"/>
    <w:rsid w:val="000952E1"/>
    <w:rsid w:val="0009660D"/>
    <w:rsid w:val="000973D1"/>
    <w:rsid w:val="0009789D"/>
    <w:rsid w:val="000A1806"/>
    <w:rsid w:val="000A1DF4"/>
    <w:rsid w:val="000A6721"/>
    <w:rsid w:val="000A6C0F"/>
    <w:rsid w:val="000B139F"/>
    <w:rsid w:val="000B2822"/>
    <w:rsid w:val="000B3798"/>
    <w:rsid w:val="000B53EC"/>
    <w:rsid w:val="000B58B9"/>
    <w:rsid w:val="000B6532"/>
    <w:rsid w:val="000B6837"/>
    <w:rsid w:val="000B6D0F"/>
    <w:rsid w:val="000B6F2F"/>
    <w:rsid w:val="000B70C3"/>
    <w:rsid w:val="000B7173"/>
    <w:rsid w:val="000B7B55"/>
    <w:rsid w:val="000B7D6D"/>
    <w:rsid w:val="000C05F6"/>
    <w:rsid w:val="000C13EB"/>
    <w:rsid w:val="000C27A8"/>
    <w:rsid w:val="000C4B5A"/>
    <w:rsid w:val="000C514F"/>
    <w:rsid w:val="000C53DB"/>
    <w:rsid w:val="000C5A75"/>
    <w:rsid w:val="000C5D53"/>
    <w:rsid w:val="000C5EC6"/>
    <w:rsid w:val="000C6079"/>
    <w:rsid w:val="000C6461"/>
    <w:rsid w:val="000C6C2E"/>
    <w:rsid w:val="000C7022"/>
    <w:rsid w:val="000C7213"/>
    <w:rsid w:val="000C7290"/>
    <w:rsid w:val="000C7CE2"/>
    <w:rsid w:val="000D0430"/>
    <w:rsid w:val="000D08ED"/>
    <w:rsid w:val="000D2737"/>
    <w:rsid w:val="000D354B"/>
    <w:rsid w:val="000D41E6"/>
    <w:rsid w:val="000D5A87"/>
    <w:rsid w:val="000D5E0E"/>
    <w:rsid w:val="000D6033"/>
    <w:rsid w:val="000D7481"/>
    <w:rsid w:val="000E085D"/>
    <w:rsid w:val="000E0F54"/>
    <w:rsid w:val="000E1895"/>
    <w:rsid w:val="000E1A40"/>
    <w:rsid w:val="000E3B58"/>
    <w:rsid w:val="000E40AE"/>
    <w:rsid w:val="000E41F8"/>
    <w:rsid w:val="000E42CA"/>
    <w:rsid w:val="000E4C7D"/>
    <w:rsid w:val="000E564A"/>
    <w:rsid w:val="000E5DBF"/>
    <w:rsid w:val="000E610D"/>
    <w:rsid w:val="000E77AE"/>
    <w:rsid w:val="000E7C99"/>
    <w:rsid w:val="000F4C93"/>
    <w:rsid w:val="000F5948"/>
    <w:rsid w:val="000F7736"/>
    <w:rsid w:val="00100CB8"/>
    <w:rsid w:val="001017EA"/>
    <w:rsid w:val="001018E0"/>
    <w:rsid w:val="00102683"/>
    <w:rsid w:val="00102994"/>
    <w:rsid w:val="00103422"/>
    <w:rsid w:val="00103BA0"/>
    <w:rsid w:val="0010491A"/>
    <w:rsid w:val="001049E9"/>
    <w:rsid w:val="00104B78"/>
    <w:rsid w:val="001103C5"/>
    <w:rsid w:val="001106DA"/>
    <w:rsid w:val="00111CEE"/>
    <w:rsid w:val="00111F8A"/>
    <w:rsid w:val="001126BC"/>
    <w:rsid w:val="0011351C"/>
    <w:rsid w:val="001135D3"/>
    <w:rsid w:val="00113B31"/>
    <w:rsid w:val="00114090"/>
    <w:rsid w:val="00114B48"/>
    <w:rsid w:val="001165C8"/>
    <w:rsid w:val="00116951"/>
    <w:rsid w:val="00116972"/>
    <w:rsid w:val="00120064"/>
    <w:rsid w:val="00121671"/>
    <w:rsid w:val="00121955"/>
    <w:rsid w:val="00121D13"/>
    <w:rsid w:val="00123C61"/>
    <w:rsid w:val="00124013"/>
    <w:rsid w:val="001258C3"/>
    <w:rsid w:val="0012639F"/>
    <w:rsid w:val="00126938"/>
    <w:rsid w:val="0012758A"/>
    <w:rsid w:val="001312AE"/>
    <w:rsid w:val="001314E4"/>
    <w:rsid w:val="00132E03"/>
    <w:rsid w:val="001330B1"/>
    <w:rsid w:val="00134481"/>
    <w:rsid w:val="001346E8"/>
    <w:rsid w:val="001349E0"/>
    <w:rsid w:val="0013515C"/>
    <w:rsid w:val="001369DD"/>
    <w:rsid w:val="00136D03"/>
    <w:rsid w:val="001373B6"/>
    <w:rsid w:val="00140195"/>
    <w:rsid w:val="001411FF"/>
    <w:rsid w:val="00142F0C"/>
    <w:rsid w:val="001433DB"/>
    <w:rsid w:val="00143C27"/>
    <w:rsid w:val="001440D8"/>
    <w:rsid w:val="00144D62"/>
    <w:rsid w:val="00150AA2"/>
    <w:rsid w:val="00151E8D"/>
    <w:rsid w:val="001533D0"/>
    <w:rsid w:val="00155215"/>
    <w:rsid w:val="001559A5"/>
    <w:rsid w:val="00156057"/>
    <w:rsid w:val="00157D7F"/>
    <w:rsid w:val="00160695"/>
    <w:rsid w:val="00160867"/>
    <w:rsid w:val="00161293"/>
    <w:rsid w:val="0016155A"/>
    <w:rsid w:val="00163598"/>
    <w:rsid w:val="00163F00"/>
    <w:rsid w:val="001640CC"/>
    <w:rsid w:val="001645BE"/>
    <w:rsid w:val="001648BB"/>
    <w:rsid w:val="00164F51"/>
    <w:rsid w:val="00165088"/>
    <w:rsid w:val="001651CB"/>
    <w:rsid w:val="001666E7"/>
    <w:rsid w:val="00166ABE"/>
    <w:rsid w:val="00170821"/>
    <w:rsid w:val="00170C15"/>
    <w:rsid w:val="001725BE"/>
    <w:rsid w:val="00172949"/>
    <w:rsid w:val="0017407E"/>
    <w:rsid w:val="001745E8"/>
    <w:rsid w:val="00174D99"/>
    <w:rsid w:val="00175A26"/>
    <w:rsid w:val="0017601F"/>
    <w:rsid w:val="0017627B"/>
    <w:rsid w:val="00177D9E"/>
    <w:rsid w:val="0018045B"/>
    <w:rsid w:val="001825A6"/>
    <w:rsid w:val="00182933"/>
    <w:rsid w:val="00183271"/>
    <w:rsid w:val="00183910"/>
    <w:rsid w:val="00183998"/>
    <w:rsid w:val="00184F14"/>
    <w:rsid w:val="0018574A"/>
    <w:rsid w:val="00185844"/>
    <w:rsid w:val="0018589A"/>
    <w:rsid w:val="00186134"/>
    <w:rsid w:val="00190937"/>
    <w:rsid w:val="00190DA7"/>
    <w:rsid w:val="00191840"/>
    <w:rsid w:val="00194AF8"/>
    <w:rsid w:val="0019568A"/>
    <w:rsid w:val="00197123"/>
    <w:rsid w:val="001A0DF3"/>
    <w:rsid w:val="001A0FF2"/>
    <w:rsid w:val="001A2968"/>
    <w:rsid w:val="001A2A48"/>
    <w:rsid w:val="001A31D2"/>
    <w:rsid w:val="001A32DB"/>
    <w:rsid w:val="001A3358"/>
    <w:rsid w:val="001A3F53"/>
    <w:rsid w:val="001A69D8"/>
    <w:rsid w:val="001A78D1"/>
    <w:rsid w:val="001B18EE"/>
    <w:rsid w:val="001B1DBD"/>
    <w:rsid w:val="001B2880"/>
    <w:rsid w:val="001B434C"/>
    <w:rsid w:val="001B4D32"/>
    <w:rsid w:val="001B544E"/>
    <w:rsid w:val="001B6802"/>
    <w:rsid w:val="001B74B4"/>
    <w:rsid w:val="001C00C0"/>
    <w:rsid w:val="001C1B29"/>
    <w:rsid w:val="001C2DA2"/>
    <w:rsid w:val="001C3A44"/>
    <w:rsid w:val="001C3FE9"/>
    <w:rsid w:val="001C41F5"/>
    <w:rsid w:val="001C41F8"/>
    <w:rsid w:val="001C53E4"/>
    <w:rsid w:val="001C57EB"/>
    <w:rsid w:val="001C65A5"/>
    <w:rsid w:val="001C70FC"/>
    <w:rsid w:val="001C78B7"/>
    <w:rsid w:val="001D00B5"/>
    <w:rsid w:val="001D00BE"/>
    <w:rsid w:val="001D52BE"/>
    <w:rsid w:val="001D64BD"/>
    <w:rsid w:val="001D7BF6"/>
    <w:rsid w:val="001E14C1"/>
    <w:rsid w:val="001E1644"/>
    <w:rsid w:val="001E1941"/>
    <w:rsid w:val="001E3F7E"/>
    <w:rsid w:val="001E4085"/>
    <w:rsid w:val="001E5B11"/>
    <w:rsid w:val="001E5E48"/>
    <w:rsid w:val="001E6366"/>
    <w:rsid w:val="001E6396"/>
    <w:rsid w:val="001E7067"/>
    <w:rsid w:val="001E724A"/>
    <w:rsid w:val="001E75FD"/>
    <w:rsid w:val="001F27F9"/>
    <w:rsid w:val="001F317F"/>
    <w:rsid w:val="001F3741"/>
    <w:rsid w:val="001F557E"/>
    <w:rsid w:val="001F56CA"/>
    <w:rsid w:val="002009B3"/>
    <w:rsid w:val="00200AD4"/>
    <w:rsid w:val="00200D7D"/>
    <w:rsid w:val="002010A6"/>
    <w:rsid w:val="002036C3"/>
    <w:rsid w:val="002037FA"/>
    <w:rsid w:val="00203FFE"/>
    <w:rsid w:val="00204180"/>
    <w:rsid w:val="002047F3"/>
    <w:rsid w:val="002062E6"/>
    <w:rsid w:val="002073F8"/>
    <w:rsid w:val="00207A11"/>
    <w:rsid w:val="0021002F"/>
    <w:rsid w:val="002102DC"/>
    <w:rsid w:val="00211D52"/>
    <w:rsid w:val="00213A60"/>
    <w:rsid w:val="00217047"/>
    <w:rsid w:val="00217ADF"/>
    <w:rsid w:val="00220F6B"/>
    <w:rsid w:val="002227B3"/>
    <w:rsid w:val="00223881"/>
    <w:rsid w:val="00226D34"/>
    <w:rsid w:val="00226DA7"/>
    <w:rsid w:val="002305B5"/>
    <w:rsid w:val="002328F6"/>
    <w:rsid w:val="00232CEF"/>
    <w:rsid w:val="00232E64"/>
    <w:rsid w:val="002337D9"/>
    <w:rsid w:val="00233A6A"/>
    <w:rsid w:val="00233AFF"/>
    <w:rsid w:val="00234B48"/>
    <w:rsid w:val="00234EE8"/>
    <w:rsid w:val="00235D1A"/>
    <w:rsid w:val="002367C9"/>
    <w:rsid w:val="00237049"/>
    <w:rsid w:val="00237979"/>
    <w:rsid w:val="002408F0"/>
    <w:rsid w:val="00240B85"/>
    <w:rsid w:val="00241675"/>
    <w:rsid w:val="002419C0"/>
    <w:rsid w:val="002422FF"/>
    <w:rsid w:val="00242C05"/>
    <w:rsid w:val="002440C2"/>
    <w:rsid w:val="002444DB"/>
    <w:rsid w:val="00244C84"/>
    <w:rsid w:val="00245301"/>
    <w:rsid w:val="00245D8B"/>
    <w:rsid w:val="00245F34"/>
    <w:rsid w:val="002467CF"/>
    <w:rsid w:val="0024762E"/>
    <w:rsid w:val="00247D89"/>
    <w:rsid w:val="0025151E"/>
    <w:rsid w:val="00251E17"/>
    <w:rsid w:val="00251E89"/>
    <w:rsid w:val="0025304B"/>
    <w:rsid w:val="002534BF"/>
    <w:rsid w:val="002545A6"/>
    <w:rsid w:val="002557E9"/>
    <w:rsid w:val="0025730D"/>
    <w:rsid w:val="002601C4"/>
    <w:rsid w:val="0026068A"/>
    <w:rsid w:val="00262539"/>
    <w:rsid w:val="002631D3"/>
    <w:rsid w:val="002634DD"/>
    <w:rsid w:val="0026372C"/>
    <w:rsid w:val="00263BCB"/>
    <w:rsid w:val="0026400B"/>
    <w:rsid w:val="00264EEC"/>
    <w:rsid w:val="00265FF2"/>
    <w:rsid w:val="002667C2"/>
    <w:rsid w:val="00266DD0"/>
    <w:rsid w:val="00272ABD"/>
    <w:rsid w:val="00272F5D"/>
    <w:rsid w:val="002747E8"/>
    <w:rsid w:val="00274DDD"/>
    <w:rsid w:val="00275450"/>
    <w:rsid w:val="002761A8"/>
    <w:rsid w:val="00276E33"/>
    <w:rsid w:val="0027741B"/>
    <w:rsid w:val="00277BB9"/>
    <w:rsid w:val="0028070F"/>
    <w:rsid w:val="00281806"/>
    <w:rsid w:val="002829A2"/>
    <w:rsid w:val="00285556"/>
    <w:rsid w:val="00285DC2"/>
    <w:rsid w:val="00286029"/>
    <w:rsid w:val="002873BA"/>
    <w:rsid w:val="00287B94"/>
    <w:rsid w:val="00287F3E"/>
    <w:rsid w:val="0029048B"/>
    <w:rsid w:val="00293C53"/>
    <w:rsid w:val="00295781"/>
    <w:rsid w:val="002962E4"/>
    <w:rsid w:val="00296A12"/>
    <w:rsid w:val="002A036E"/>
    <w:rsid w:val="002A10AE"/>
    <w:rsid w:val="002A13AF"/>
    <w:rsid w:val="002A225E"/>
    <w:rsid w:val="002A2B97"/>
    <w:rsid w:val="002A2E16"/>
    <w:rsid w:val="002A34A1"/>
    <w:rsid w:val="002A3B36"/>
    <w:rsid w:val="002A5304"/>
    <w:rsid w:val="002A701A"/>
    <w:rsid w:val="002A7902"/>
    <w:rsid w:val="002B1140"/>
    <w:rsid w:val="002B11CF"/>
    <w:rsid w:val="002B1360"/>
    <w:rsid w:val="002B1D00"/>
    <w:rsid w:val="002B241D"/>
    <w:rsid w:val="002B2D95"/>
    <w:rsid w:val="002B4BA4"/>
    <w:rsid w:val="002B54A5"/>
    <w:rsid w:val="002B5548"/>
    <w:rsid w:val="002B63F4"/>
    <w:rsid w:val="002B6FB9"/>
    <w:rsid w:val="002B7BEE"/>
    <w:rsid w:val="002C1392"/>
    <w:rsid w:val="002C1C44"/>
    <w:rsid w:val="002C5361"/>
    <w:rsid w:val="002C546E"/>
    <w:rsid w:val="002C645E"/>
    <w:rsid w:val="002C6627"/>
    <w:rsid w:val="002C7CC3"/>
    <w:rsid w:val="002D014B"/>
    <w:rsid w:val="002D09FA"/>
    <w:rsid w:val="002D269B"/>
    <w:rsid w:val="002D7918"/>
    <w:rsid w:val="002E095D"/>
    <w:rsid w:val="002E1C10"/>
    <w:rsid w:val="002E3AB5"/>
    <w:rsid w:val="002E457F"/>
    <w:rsid w:val="002E5D11"/>
    <w:rsid w:val="002E6EC8"/>
    <w:rsid w:val="002E7DAC"/>
    <w:rsid w:val="002F0774"/>
    <w:rsid w:val="002F3219"/>
    <w:rsid w:val="002F323B"/>
    <w:rsid w:val="002F329E"/>
    <w:rsid w:val="002F32A5"/>
    <w:rsid w:val="002F3A64"/>
    <w:rsid w:val="002F3B3C"/>
    <w:rsid w:val="002F4372"/>
    <w:rsid w:val="002F4D19"/>
    <w:rsid w:val="002F687F"/>
    <w:rsid w:val="002F7F31"/>
    <w:rsid w:val="00301883"/>
    <w:rsid w:val="00301BFB"/>
    <w:rsid w:val="00301FA2"/>
    <w:rsid w:val="00302A79"/>
    <w:rsid w:val="00302F80"/>
    <w:rsid w:val="00302FFB"/>
    <w:rsid w:val="00303053"/>
    <w:rsid w:val="0030337E"/>
    <w:rsid w:val="0030351C"/>
    <w:rsid w:val="00303595"/>
    <w:rsid w:val="00303923"/>
    <w:rsid w:val="00303A86"/>
    <w:rsid w:val="00303BB6"/>
    <w:rsid w:val="00304A32"/>
    <w:rsid w:val="00304B2B"/>
    <w:rsid w:val="00304EE3"/>
    <w:rsid w:val="00307541"/>
    <w:rsid w:val="00310C84"/>
    <w:rsid w:val="003114C6"/>
    <w:rsid w:val="00311A93"/>
    <w:rsid w:val="00312F68"/>
    <w:rsid w:val="0031341C"/>
    <w:rsid w:val="003140AE"/>
    <w:rsid w:val="003147FE"/>
    <w:rsid w:val="0031509A"/>
    <w:rsid w:val="0031560C"/>
    <w:rsid w:val="003178FB"/>
    <w:rsid w:val="00317DCD"/>
    <w:rsid w:val="00320C6B"/>
    <w:rsid w:val="0032175C"/>
    <w:rsid w:val="003222A6"/>
    <w:rsid w:val="003223B3"/>
    <w:rsid w:val="00322F4F"/>
    <w:rsid w:val="0032375E"/>
    <w:rsid w:val="0032406D"/>
    <w:rsid w:val="003243E7"/>
    <w:rsid w:val="003254B9"/>
    <w:rsid w:val="00326033"/>
    <w:rsid w:val="0032679F"/>
    <w:rsid w:val="003310FA"/>
    <w:rsid w:val="003317E0"/>
    <w:rsid w:val="00332D3B"/>
    <w:rsid w:val="003335CA"/>
    <w:rsid w:val="0033397A"/>
    <w:rsid w:val="003349AE"/>
    <w:rsid w:val="00335285"/>
    <w:rsid w:val="00335643"/>
    <w:rsid w:val="00336221"/>
    <w:rsid w:val="00340492"/>
    <w:rsid w:val="003407CA"/>
    <w:rsid w:val="0034191E"/>
    <w:rsid w:val="00341C31"/>
    <w:rsid w:val="003444FC"/>
    <w:rsid w:val="00344C2B"/>
    <w:rsid w:val="00344EF8"/>
    <w:rsid w:val="00345828"/>
    <w:rsid w:val="00346109"/>
    <w:rsid w:val="003469C8"/>
    <w:rsid w:val="0035121C"/>
    <w:rsid w:val="0035205C"/>
    <w:rsid w:val="00352072"/>
    <w:rsid w:val="00352361"/>
    <w:rsid w:val="00352621"/>
    <w:rsid w:val="00352732"/>
    <w:rsid w:val="00354F9A"/>
    <w:rsid w:val="00355E6D"/>
    <w:rsid w:val="003565B3"/>
    <w:rsid w:val="00356F1A"/>
    <w:rsid w:val="00356F3A"/>
    <w:rsid w:val="003574A7"/>
    <w:rsid w:val="00357CE9"/>
    <w:rsid w:val="0036039E"/>
    <w:rsid w:val="00360C49"/>
    <w:rsid w:val="00361618"/>
    <w:rsid w:val="0036173E"/>
    <w:rsid w:val="003622EE"/>
    <w:rsid w:val="0036289A"/>
    <w:rsid w:val="00363230"/>
    <w:rsid w:val="00363CE0"/>
    <w:rsid w:val="0036435B"/>
    <w:rsid w:val="003644BA"/>
    <w:rsid w:val="00364CB1"/>
    <w:rsid w:val="00365406"/>
    <w:rsid w:val="00365413"/>
    <w:rsid w:val="0036541E"/>
    <w:rsid w:val="00365D91"/>
    <w:rsid w:val="003700D9"/>
    <w:rsid w:val="00370FAB"/>
    <w:rsid w:val="00371F62"/>
    <w:rsid w:val="00372FD0"/>
    <w:rsid w:val="003735A3"/>
    <w:rsid w:val="003739E6"/>
    <w:rsid w:val="003753F2"/>
    <w:rsid w:val="003755B1"/>
    <w:rsid w:val="00377D34"/>
    <w:rsid w:val="0038079F"/>
    <w:rsid w:val="00380CC4"/>
    <w:rsid w:val="00380FCB"/>
    <w:rsid w:val="0038170E"/>
    <w:rsid w:val="00381949"/>
    <w:rsid w:val="0038322B"/>
    <w:rsid w:val="00383AF6"/>
    <w:rsid w:val="00383AF7"/>
    <w:rsid w:val="00383D67"/>
    <w:rsid w:val="003849DE"/>
    <w:rsid w:val="00384DA9"/>
    <w:rsid w:val="003851A3"/>
    <w:rsid w:val="00385B1E"/>
    <w:rsid w:val="003866DF"/>
    <w:rsid w:val="003867B5"/>
    <w:rsid w:val="00387190"/>
    <w:rsid w:val="00387812"/>
    <w:rsid w:val="00387901"/>
    <w:rsid w:val="003906B0"/>
    <w:rsid w:val="00391D79"/>
    <w:rsid w:val="00391DB5"/>
    <w:rsid w:val="00392031"/>
    <w:rsid w:val="003926F0"/>
    <w:rsid w:val="00395593"/>
    <w:rsid w:val="00396307"/>
    <w:rsid w:val="003972CB"/>
    <w:rsid w:val="00397D00"/>
    <w:rsid w:val="003A027F"/>
    <w:rsid w:val="003A09FA"/>
    <w:rsid w:val="003A147E"/>
    <w:rsid w:val="003A1FD7"/>
    <w:rsid w:val="003A4BEA"/>
    <w:rsid w:val="003A4FBA"/>
    <w:rsid w:val="003A7A50"/>
    <w:rsid w:val="003B02F4"/>
    <w:rsid w:val="003B0A01"/>
    <w:rsid w:val="003B1793"/>
    <w:rsid w:val="003B2170"/>
    <w:rsid w:val="003B272D"/>
    <w:rsid w:val="003B2B35"/>
    <w:rsid w:val="003B3444"/>
    <w:rsid w:val="003B3969"/>
    <w:rsid w:val="003B3CEA"/>
    <w:rsid w:val="003B614D"/>
    <w:rsid w:val="003B70B9"/>
    <w:rsid w:val="003B784F"/>
    <w:rsid w:val="003B7E01"/>
    <w:rsid w:val="003C0659"/>
    <w:rsid w:val="003C0F43"/>
    <w:rsid w:val="003C12AB"/>
    <w:rsid w:val="003C1CD7"/>
    <w:rsid w:val="003C2670"/>
    <w:rsid w:val="003C2ECA"/>
    <w:rsid w:val="003C411A"/>
    <w:rsid w:val="003C4BEF"/>
    <w:rsid w:val="003C50D9"/>
    <w:rsid w:val="003C519A"/>
    <w:rsid w:val="003C56DB"/>
    <w:rsid w:val="003C6AC2"/>
    <w:rsid w:val="003C6CC7"/>
    <w:rsid w:val="003C6E29"/>
    <w:rsid w:val="003D06BA"/>
    <w:rsid w:val="003D14B1"/>
    <w:rsid w:val="003D201D"/>
    <w:rsid w:val="003D2B7C"/>
    <w:rsid w:val="003D421F"/>
    <w:rsid w:val="003D4AEC"/>
    <w:rsid w:val="003D55B8"/>
    <w:rsid w:val="003D6954"/>
    <w:rsid w:val="003D6F09"/>
    <w:rsid w:val="003D76F2"/>
    <w:rsid w:val="003D7A1A"/>
    <w:rsid w:val="003E00B0"/>
    <w:rsid w:val="003E0496"/>
    <w:rsid w:val="003E103E"/>
    <w:rsid w:val="003E2831"/>
    <w:rsid w:val="003E2846"/>
    <w:rsid w:val="003E36A7"/>
    <w:rsid w:val="003E3784"/>
    <w:rsid w:val="003E3E46"/>
    <w:rsid w:val="003E4CDA"/>
    <w:rsid w:val="003E5C8A"/>
    <w:rsid w:val="003E6528"/>
    <w:rsid w:val="003E6E1E"/>
    <w:rsid w:val="003E7565"/>
    <w:rsid w:val="003E7B76"/>
    <w:rsid w:val="003E7DFA"/>
    <w:rsid w:val="003F0C0B"/>
    <w:rsid w:val="003F0C81"/>
    <w:rsid w:val="003F0DBF"/>
    <w:rsid w:val="003F328B"/>
    <w:rsid w:val="003F32AE"/>
    <w:rsid w:val="003F437D"/>
    <w:rsid w:val="003F4BA6"/>
    <w:rsid w:val="003F4EC1"/>
    <w:rsid w:val="003F5F2A"/>
    <w:rsid w:val="003F625F"/>
    <w:rsid w:val="003F6CC4"/>
    <w:rsid w:val="003F6E1A"/>
    <w:rsid w:val="003F6EB9"/>
    <w:rsid w:val="003F7E3C"/>
    <w:rsid w:val="00401F28"/>
    <w:rsid w:val="00402417"/>
    <w:rsid w:val="00404FA7"/>
    <w:rsid w:val="0040763B"/>
    <w:rsid w:val="004110F1"/>
    <w:rsid w:val="00411AD7"/>
    <w:rsid w:val="00411CA3"/>
    <w:rsid w:val="00412EE6"/>
    <w:rsid w:val="004132C7"/>
    <w:rsid w:val="00413776"/>
    <w:rsid w:val="00413D98"/>
    <w:rsid w:val="00413F22"/>
    <w:rsid w:val="00414DD0"/>
    <w:rsid w:val="0041584A"/>
    <w:rsid w:val="0041680F"/>
    <w:rsid w:val="00416BA4"/>
    <w:rsid w:val="00416D77"/>
    <w:rsid w:val="00420648"/>
    <w:rsid w:val="00424E19"/>
    <w:rsid w:val="00426849"/>
    <w:rsid w:val="00432073"/>
    <w:rsid w:val="004321DA"/>
    <w:rsid w:val="00433779"/>
    <w:rsid w:val="004339A9"/>
    <w:rsid w:val="00434A36"/>
    <w:rsid w:val="004356AB"/>
    <w:rsid w:val="00437488"/>
    <w:rsid w:val="004406AB"/>
    <w:rsid w:val="00442B9D"/>
    <w:rsid w:val="00442D1B"/>
    <w:rsid w:val="004445FD"/>
    <w:rsid w:val="0044481B"/>
    <w:rsid w:val="00444925"/>
    <w:rsid w:val="00445626"/>
    <w:rsid w:val="00445AE2"/>
    <w:rsid w:val="004466EC"/>
    <w:rsid w:val="00446FA0"/>
    <w:rsid w:val="0045068C"/>
    <w:rsid w:val="00450B9F"/>
    <w:rsid w:val="00451DA5"/>
    <w:rsid w:val="00451F0F"/>
    <w:rsid w:val="00454165"/>
    <w:rsid w:val="004548C2"/>
    <w:rsid w:val="00455484"/>
    <w:rsid w:val="004573F5"/>
    <w:rsid w:val="00457861"/>
    <w:rsid w:val="00460251"/>
    <w:rsid w:val="004606B7"/>
    <w:rsid w:val="00461798"/>
    <w:rsid w:val="004618A0"/>
    <w:rsid w:val="0046252F"/>
    <w:rsid w:val="004632B9"/>
    <w:rsid w:val="0046485D"/>
    <w:rsid w:val="0046733C"/>
    <w:rsid w:val="00467757"/>
    <w:rsid w:val="00470B9F"/>
    <w:rsid w:val="004711DF"/>
    <w:rsid w:val="00471938"/>
    <w:rsid w:val="00472298"/>
    <w:rsid w:val="00472B3E"/>
    <w:rsid w:val="00474552"/>
    <w:rsid w:val="004758DF"/>
    <w:rsid w:val="00475926"/>
    <w:rsid w:val="004759D4"/>
    <w:rsid w:val="00476517"/>
    <w:rsid w:val="004767BB"/>
    <w:rsid w:val="00477741"/>
    <w:rsid w:val="00477E8F"/>
    <w:rsid w:val="0048075E"/>
    <w:rsid w:val="004808F8"/>
    <w:rsid w:val="00481714"/>
    <w:rsid w:val="0048257B"/>
    <w:rsid w:val="00482D2A"/>
    <w:rsid w:val="00485F77"/>
    <w:rsid w:val="004875DE"/>
    <w:rsid w:val="004907CC"/>
    <w:rsid w:val="00491334"/>
    <w:rsid w:val="00492693"/>
    <w:rsid w:val="00493852"/>
    <w:rsid w:val="00493A58"/>
    <w:rsid w:val="00494BFB"/>
    <w:rsid w:val="00495C85"/>
    <w:rsid w:val="004962F0"/>
    <w:rsid w:val="004963FF"/>
    <w:rsid w:val="004A03AC"/>
    <w:rsid w:val="004A244C"/>
    <w:rsid w:val="004A267A"/>
    <w:rsid w:val="004A2912"/>
    <w:rsid w:val="004A3574"/>
    <w:rsid w:val="004A401F"/>
    <w:rsid w:val="004A54ED"/>
    <w:rsid w:val="004A6D2B"/>
    <w:rsid w:val="004A7E7F"/>
    <w:rsid w:val="004B0781"/>
    <w:rsid w:val="004B0B6F"/>
    <w:rsid w:val="004B110D"/>
    <w:rsid w:val="004B2877"/>
    <w:rsid w:val="004B28BC"/>
    <w:rsid w:val="004B3C78"/>
    <w:rsid w:val="004B45F5"/>
    <w:rsid w:val="004B51DA"/>
    <w:rsid w:val="004B687B"/>
    <w:rsid w:val="004B72F0"/>
    <w:rsid w:val="004C0665"/>
    <w:rsid w:val="004C074A"/>
    <w:rsid w:val="004C0D63"/>
    <w:rsid w:val="004C0F0C"/>
    <w:rsid w:val="004C191D"/>
    <w:rsid w:val="004C43B9"/>
    <w:rsid w:val="004C4978"/>
    <w:rsid w:val="004C53A5"/>
    <w:rsid w:val="004C53C3"/>
    <w:rsid w:val="004C54CC"/>
    <w:rsid w:val="004C56E5"/>
    <w:rsid w:val="004D0206"/>
    <w:rsid w:val="004D2010"/>
    <w:rsid w:val="004D26F3"/>
    <w:rsid w:val="004D3D9F"/>
    <w:rsid w:val="004D3FDB"/>
    <w:rsid w:val="004D50F0"/>
    <w:rsid w:val="004D6248"/>
    <w:rsid w:val="004D6E67"/>
    <w:rsid w:val="004D6EF7"/>
    <w:rsid w:val="004E0560"/>
    <w:rsid w:val="004E090A"/>
    <w:rsid w:val="004E0C55"/>
    <w:rsid w:val="004E13F8"/>
    <w:rsid w:val="004E1848"/>
    <w:rsid w:val="004E1958"/>
    <w:rsid w:val="004E2804"/>
    <w:rsid w:val="004E2938"/>
    <w:rsid w:val="004E35A5"/>
    <w:rsid w:val="004E380D"/>
    <w:rsid w:val="004E46F2"/>
    <w:rsid w:val="004E4E48"/>
    <w:rsid w:val="004E54CD"/>
    <w:rsid w:val="004E6A04"/>
    <w:rsid w:val="004F131F"/>
    <w:rsid w:val="004F29E2"/>
    <w:rsid w:val="004F3499"/>
    <w:rsid w:val="004F38A6"/>
    <w:rsid w:val="004F3A57"/>
    <w:rsid w:val="004F3D59"/>
    <w:rsid w:val="004F593C"/>
    <w:rsid w:val="004F5F15"/>
    <w:rsid w:val="004F6E5C"/>
    <w:rsid w:val="004F7317"/>
    <w:rsid w:val="00500E63"/>
    <w:rsid w:val="005031FF"/>
    <w:rsid w:val="005034F3"/>
    <w:rsid w:val="0050371E"/>
    <w:rsid w:val="00503984"/>
    <w:rsid w:val="00504946"/>
    <w:rsid w:val="00506EBE"/>
    <w:rsid w:val="00507122"/>
    <w:rsid w:val="00507328"/>
    <w:rsid w:val="005109F6"/>
    <w:rsid w:val="00510AB4"/>
    <w:rsid w:val="00511DE7"/>
    <w:rsid w:val="0051206F"/>
    <w:rsid w:val="005120ED"/>
    <w:rsid w:val="00515CE4"/>
    <w:rsid w:val="005160F9"/>
    <w:rsid w:val="005166D8"/>
    <w:rsid w:val="00516793"/>
    <w:rsid w:val="005171C6"/>
    <w:rsid w:val="005203D7"/>
    <w:rsid w:val="005204BC"/>
    <w:rsid w:val="00520FC7"/>
    <w:rsid w:val="00522918"/>
    <w:rsid w:val="005229CD"/>
    <w:rsid w:val="00522BB1"/>
    <w:rsid w:val="00524183"/>
    <w:rsid w:val="0052441F"/>
    <w:rsid w:val="005245A0"/>
    <w:rsid w:val="00524F55"/>
    <w:rsid w:val="00525702"/>
    <w:rsid w:val="005261C1"/>
    <w:rsid w:val="0052737F"/>
    <w:rsid w:val="00531018"/>
    <w:rsid w:val="0053133A"/>
    <w:rsid w:val="00531DC1"/>
    <w:rsid w:val="005331AE"/>
    <w:rsid w:val="00533493"/>
    <w:rsid w:val="00535A8D"/>
    <w:rsid w:val="00535C49"/>
    <w:rsid w:val="00535DBB"/>
    <w:rsid w:val="00536361"/>
    <w:rsid w:val="00537732"/>
    <w:rsid w:val="0054037F"/>
    <w:rsid w:val="005406E4"/>
    <w:rsid w:val="005409E0"/>
    <w:rsid w:val="005409EF"/>
    <w:rsid w:val="00541BA7"/>
    <w:rsid w:val="005426C7"/>
    <w:rsid w:val="00542D5D"/>
    <w:rsid w:val="005435FC"/>
    <w:rsid w:val="00543CE3"/>
    <w:rsid w:val="00544196"/>
    <w:rsid w:val="00544298"/>
    <w:rsid w:val="005452B6"/>
    <w:rsid w:val="0054562A"/>
    <w:rsid w:val="0054581A"/>
    <w:rsid w:val="005458F3"/>
    <w:rsid w:val="00551CAD"/>
    <w:rsid w:val="0055472C"/>
    <w:rsid w:val="00554E73"/>
    <w:rsid w:val="00555960"/>
    <w:rsid w:val="005560F3"/>
    <w:rsid w:val="00556799"/>
    <w:rsid w:val="00556EAA"/>
    <w:rsid w:val="0055752D"/>
    <w:rsid w:val="005579F3"/>
    <w:rsid w:val="00560E06"/>
    <w:rsid w:val="00560F4F"/>
    <w:rsid w:val="00562706"/>
    <w:rsid w:val="00562C2F"/>
    <w:rsid w:val="00563CCE"/>
    <w:rsid w:val="00564B28"/>
    <w:rsid w:val="00565625"/>
    <w:rsid w:val="0056619B"/>
    <w:rsid w:val="005703AD"/>
    <w:rsid w:val="005722FD"/>
    <w:rsid w:val="00573CAC"/>
    <w:rsid w:val="00575563"/>
    <w:rsid w:val="005768C9"/>
    <w:rsid w:val="00580729"/>
    <w:rsid w:val="00581299"/>
    <w:rsid w:val="00582982"/>
    <w:rsid w:val="0058308A"/>
    <w:rsid w:val="00583C94"/>
    <w:rsid w:val="00584496"/>
    <w:rsid w:val="0058580F"/>
    <w:rsid w:val="005858C9"/>
    <w:rsid w:val="0058680C"/>
    <w:rsid w:val="00587355"/>
    <w:rsid w:val="00590526"/>
    <w:rsid w:val="00590E41"/>
    <w:rsid w:val="005941AD"/>
    <w:rsid w:val="00594802"/>
    <w:rsid w:val="00594A9B"/>
    <w:rsid w:val="00595527"/>
    <w:rsid w:val="00595756"/>
    <w:rsid w:val="0059654C"/>
    <w:rsid w:val="00597E3C"/>
    <w:rsid w:val="005A0AF1"/>
    <w:rsid w:val="005A11BE"/>
    <w:rsid w:val="005A17E5"/>
    <w:rsid w:val="005A1B2F"/>
    <w:rsid w:val="005A2352"/>
    <w:rsid w:val="005A3061"/>
    <w:rsid w:val="005A366E"/>
    <w:rsid w:val="005A51FA"/>
    <w:rsid w:val="005A59CC"/>
    <w:rsid w:val="005A5AB4"/>
    <w:rsid w:val="005A6403"/>
    <w:rsid w:val="005A656F"/>
    <w:rsid w:val="005A7208"/>
    <w:rsid w:val="005A7D76"/>
    <w:rsid w:val="005B1D25"/>
    <w:rsid w:val="005B343F"/>
    <w:rsid w:val="005B5A43"/>
    <w:rsid w:val="005C03EA"/>
    <w:rsid w:val="005C088A"/>
    <w:rsid w:val="005C0BE6"/>
    <w:rsid w:val="005C148D"/>
    <w:rsid w:val="005C19EE"/>
    <w:rsid w:val="005C2FEB"/>
    <w:rsid w:val="005C3A32"/>
    <w:rsid w:val="005C4FFD"/>
    <w:rsid w:val="005C5321"/>
    <w:rsid w:val="005C5579"/>
    <w:rsid w:val="005C6ADC"/>
    <w:rsid w:val="005C6BD5"/>
    <w:rsid w:val="005C7068"/>
    <w:rsid w:val="005C7714"/>
    <w:rsid w:val="005D13AB"/>
    <w:rsid w:val="005D1A2B"/>
    <w:rsid w:val="005D278C"/>
    <w:rsid w:val="005D3129"/>
    <w:rsid w:val="005D3674"/>
    <w:rsid w:val="005D3B79"/>
    <w:rsid w:val="005D4442"/>
    <w:rsid w:val="005D46D2"/>
    <w:rsid w:val="005D664F"/>
    <w:rsid w:val="005D77D6"/>
    <w:rsid w:val="005E02AA"/>
    <w:rsid w:val="005E06D7"/>
    <w:rsid w:val="005E1185"/>
    <w:rsid w:val="005E263A"/>
    <w:rsid w:val="005E5736"/>
    <w:rsid w:val="005E57AA"/>
    <w:rsid w:val="005E5ACA"/>
    <w:rsid w:val="005E7372"/>
    <w:rsid w:val="005F1AB9"/>
    <w:rsid w:val="005F1B49"/>
    <w:rsid w:val="005F2DC3"/>
    <w:rsid w:val="005F301B"/>
    <w:rsid w:val="005F3A78"/>
    <w:rsid w:val="005F3CBA"/>
    <w:rsid w:val="005F41D3"/>
    <w:rsid w:val="005F4C27"/>
    <w:rsid w:val="005F5ADF"/>
    <w:rsid w:val="005F60FD"/>
    <w:rsid w:val="005F7879"/>
    <w:rsid w:val="005F7BFB"/>
    <w:rsid w:val="005F7D5C"/>
    <w:rsid w:val="00600125"/>
    <w:rsid w:val="00600608"/>
    <w:rsid w:val="00601BC2"/>
    <w:rsid w:val="00603238"/>
    <w:rsid w:val="006035A3"/>
    <w:rsid w:val="006041DE"/>
    <w:rsid w:val="00604A70"/>
    <w:rsid w:val="00604BA6"/>
    <w:rsid w:val="00604DAB"/>
    <w:rsid w:val="00605283"/>
    <w:rsid w:val="0060605D"/>
    <w:rsid w:val="00607644"/>
    <w:rsid w:val="00607E2B"/>
    <w:rsid w:val="0061114F"/>
    <w:rsid w:val="00612624"/>
    <w:rsid w:val="0061306E"/>
    <w:rsid w:val="0061524A"/>
    <w:rsid w:val="006153A9"/>
    <w:rsid w:val="00615EA1"/>
    <w:rsid w:val="006167A1"/>
    <w:rsid w:val="00617960"/>
    <w:rsid w:val="00621C6A"/>
    <w:rsid w:val="00623594"/>
    <w:rsid w:val="0062551C"/>
    <w:rsid w:val="0062568A"/>
    <w:rsid w:val="00625FCE"/>
    <w:rsid w:val="0062627E"/>
    <w:rsid w:val="006269E1"/>
    <w:rsid w:val="00627226"/>
    <w:rsid w:val="0062750E"/>
    <w:rsid w:val="006275FF"/>
    <w:rsid w:val="006278F1"/>
    <w:rsid w:val="00627E6B"/>
    <w:rsid w:val="0063067E"/>
    <w:rsid w:val="00630C7B"/>
    <w:rsid w:val="00632013"/>
    <w:rsid w:val="006337CB"/>
    <w:rsid w:val="00633B69"/>
    <w:rsid w:val="00635234"/>
    <w:rsid w:val="00635B49"/>
    <w:rsid w:val="006360BD"/>
    <w:rsid w:val="0063758D"/>
    <w:rsid w:val="00637816"/>
    <w:rsid w:val="006378FC"/>
    <w:rsid w:val="00637E89"/>
    <w:rsid w:val="0064081E"/>
    <w:rsid w:val="006417F3"/>
    <w:rsid w:val="00642683"/>
    <w:rsid w:val="00642AFE"/>
    <w:rsid w:val="00643B44"/>
    <w:rsid w:val="00644356"/>
    <w:rsid w:val="00644544"/>
    <w:rsid w:val="0064499F"/>
    <w:rsid w:val="00645B44"/>
    <w:rsid w:val="0064624D"/>
    <w:rsid w:val="006467F0"/>
    <w:rsid w:val="006472A4"/>
    <w:rsid w:val="00647419"/>
    <w:rsid w:val="006478A6"/>
    <w:rsid w:val="00647AF8"/>
    <w:rsid w:val="006506D4"/>
    <w:rsid w:val="00650ABE"/>
    <w:rsid w:val="006511BE"/>
    <w:rsid w:val="006516AC"/>
    <w:rsid w:val="00652BCE"/>
    <w:rsid w:val="00657DF6"/>
    <w:rsid w:val="00660CE5"/>
    <w:rsid w:val="006612B0"/>
    <w:rsid w:val="006627D4"/>
    <w:rsid w:val="006630D3"/>
    <w:rsid w:val="0066401A"/>
    <w:rsid w:val="006640D2"/>
    <w:rsid w:val="0066417F"/>
    <w:rsid w:val="00664366"/>
    <w:rsid w:val="006659D1"/>
    <w:rsid w:val="00665E17"/>
    <w:rsid w:val="00665E43"/>
    <w:rsid w:val="006666FA"/>
    <w:rsid w:val="006668D4"/>
    <w:rsid w:val="006669DE"/>
    <w:rsid w:val="00666F30"/>
    <w:rsid w:val="0066723C"/>
    <w:rsid w:val="006674C7"/>
    <w:rsid w:val="00667793"/>
    <w:rsid w:val="00667FE2"/>
    <w:rsid w:val="006705B1"/>
    <w:rsid w:val="0067231A"/>
    <w:rsid w:val="00673350"/>
    <w:rsid w:val="00674690"/>
    <w:rsid w:val="00674C7F"/>
    <w:rsid w:val="00675102"/>
    <w:rsid w:val="006770DB"/>
    <w:rsid w:val="006779DE"/>
    <w:rsid w:val="00680A48"/>
    <w:rsid w:val="00680E0F"/>
    <w:rsid w:val="00682D5F"/>
    <w:rsid w:val="00683E90"/>
    <w:rsid w:val="00685557"/>
    <w:rsid w:val="00686312"/>
    <w:rsid w:val="00686CD7"/>
    <w:rsid w:val="006903A5"/>
    <w:rsid w:val="0069099E"/>
    <w:rsid w:val="00690A19"/>
    <w:rsid w:val="006915C1"/>
    <w:rsid w:val="00692613"/>
    <w:rsid w:val="0069434A"/>
    <w:rsid w:val="0069529B"/>
    <w:rsid w:val="006955B9"/>
    <w:rsid w:val="006975E9"/>
    <w:rsid w:val="00697935"/>
    <w:rsid w:val="006979B1"/>
    <w:rsid w:val="006A11E6"/>
    <w:rsid w:val="006A144B"/>
    <w:rsid w:val="006A1EE1"/>
    <w:rsid w:val="006A1F1B"/>
    <w:rsid w:val="006A2DF6"/>
    <w:rsid w:val="006A3603"/>
    <w:rsid w:val="006A4EA1"/>
    <w:rsid w:val="006A5118"/>
    <w:rsid w:val="006A689E"/>
    <w:rsid w:val="006A6935"/>
    <w:rsid w:val="006A6B5F"/>
    <w:rsid w:val="006A7487"/>
    <w:rsid w:val="006A79A5"/>
    <w:rsid w:val="006B15C1"/>
    <w:rsid w:val="006B1794"/>
    <w:rsid w:val="006B245E"/>
    <w:rsid w:val="006B40A4"/>
    <w:rsid w:val="006B65A6"/>
    <w:rsid w:val="006B6F93"/>
    <w:rsid w:val="006C04BD"/>
    <w:rsid w:val="006C15C3"/>
    <w:rsid w:val="006C3DC4"/>
    <w:rsid w:val="006C57CE"/>
    <w:rsid w:val="006C5CBD"/>
    <w:rsid w:val="006C6BBE"/>
    <w:rsid w:val="006C6CB4"/>
    <w:rsid w:val="006D2794"/>
    <w:rsid w:val="006D4188"/>
    <w:rsid w:val="006D42F7"/>
    <w:rsid w:val="006D5954"/>
    <w:rsid w:val="006D68D7"/>
    <w:rsid w:val="006D7520"/>
    <w:rsid w:val="006D7BE5"/>
    <w:rsid w:val="006E0157"/>
    <w:rsid w:val="006E0495"/>
    <w:rsid w:val="006E1871"/>
    <w:rsid w:val="006E1AF5"/>
    <w:rsid w:val="006E2657"/>
    <w:rsid w:val="006E45E5"/>
    <w:rsid w:val="006E4853"/>
    <w:rsid w:val="006E6523"/>
    <w:rsid w:val="006E6705"/>
    <w:rsid w:val="006E72BE"/>
    <w:rsid w:val="006F01A3"/>
    <w:rsid w:val="006F15EF"/>
    <w:rsid w:val="006F4021"/>
    <w:rsid w:val="006F4288"/>
    <w:rsid w:val="006F5FA3"/>
    <w:rsid w:val="006F640E"/>
    <w:rsid w:val="006F6505"/>
    <w:rsid w:val="00700914"/>
    <w:rsid w:val="00702016"/>
    <w:rsid w:val="00702338"/>
    <w:rsid w:val="00702F6A"/>
    <w:rsid w:val="007037A0"/>
    <w:rsid w:val="00703900"/>
    <w:rsid w:val="00703B9C"/>
    <w:rsid w:val="00703DDC"/>
    <w:rsid w:val="007044B8"/>
    <w:rsid w:val="007045DF"/>
    <w:rsid w:val="007047BA"/>
    <w:rsid w:val="00704D2F"/>
    <w:rsid w:val="00705166"/>
    <w:rsid w:val="00705C7E"/>
    <w:rsid w:val="00707022"/>
    <w:rsid w:val="007079C6"/>
    <w:rsid w:val="00710DD7"/>
    <w:rsid w:val="007117FB"/>
    <w:rsid w:val="00711D3D"/>
    <w:rsid w:val="00711EA6"/>
    <w:rsid w:val="00711FA6"/>
    <w:rsid w:val="00714197"/>
    <w:rsid w:val="007143B3"/>
    <w:rsid w:val="00714BC0"/>
    <w:rsid w:val="00714D1A"/>
    <w:rsid w:val="0071591D"/>
    <w:rsid w:val="00716B72"/>
    <w:rsid w:val="00717BE8"/>
    <w:rsid w:val="00717F27"/>
    <w:rsid w:val="00720980"/>
    <w:rsid w:val="00720C89"/>
    <w:rsid w:val="007211A4"/>
    <w:rsid w:val="007216DE"/>
    <w:rsid w:val="007221CA"/>
    <w:rsid w:val="00730FC9"/>
    <w:rsid w:val="007314CA"/>
    <w:rsid w:val="0073271E"/>
    <w:rsid w:val="00733581"/>
    <w:rsid w:val="00733C31"/>
    <w:rsid w:val="00733E48"/>
    <w:rsid w:val="00733E74"/>
    <w:rsid w:val="007372E4"/>
    <w:rsid w:val="00737970"/>
    <w:rsid w:val="00740507"/>
    <w:rsid w:val="00740CA5"/>
    <w:rsid w:val="00740E53"/>
    <w:rsid w:val="00741386"/>
    <w:rsid w:val="00741492"/>
    <w:rsid w:val="00744094"/>
    <w:rsid w:val="007444C2"/>
    <w:rsid w:val="00744CAC"/>
    <w:rsid w:val="007462AC"/>
    <w:rsid w:val="00751D40"/>
    <w:rsid w:val="00753B68"/>
    <w:rsid w:val="00754BF2"/>
    <w:rsid w:val="00755119"/>
    <w:rsid w:val="007553B7"/>
    <w:rsid w:val="00755A47"/>
    <w:rsid w:val="007567B6"/>
    <w:rsid w:val="00756D0F"/>
    <w:rsid w:val="007575A2"/>
    <w:rsid w:val="0075785E"/>
    <w:rsid w:val="00760968"/>
    <w:rsid w:val="00761DE4"/>
    <w:rsid w:val="0076496F"/>
    <w:rsid w:val="007672FC"/>
    <w:rsid w:val="00770234"/>
    <w:rsid w:val="007704D7"/>
    <w:rsid w:val="00770519"/>
    <w:rsid w:val="00770AA6"/>
    <w:rsid w:val="0077214B"/>
    <w:rsid w:val="007724C0"/>
    <w:rsid w:val="00772FB9"/>
    <w:rsid w:val="00773CA8"/>
    <w:rsid w:val="00774198"/>
    <w:rsid w:val="00774AA8"/>
    <w:rsid w:val="00774AB7"/>
    <w:rsid w:val="00775119"/>
    <w:rsid w:val="00775E64"/>
    <w:rsid w:val="00781ACF"/>
    <w:rsid w:val="00781E74"/>
    <w:rsid w:val="00782B23"/>
    <w:rsid w:val="00783226"/>
    <w:rsid w:val="00784288"/>
    <w:rsid w:val="007876F8"/>
    <w:rsid w:val="0078787B"/>
    <w:rsid w:val="00787D5F"/>
    <w:rsid w:val="007928A3"/>
    <w:rsid w:val="007928AE"/>
    <w:rsid w:val="00793743"/>
    <w:rsid w:val="007972E7"/>
    <w:rsid w:val="00797461"/>
    <w:rsid w:val="00797996"/>
    <w:rsid w:val="007A5AE8"/>
    <w:rsid w:val="007A647E"/>
    <w:rsid w:val="007A709C"/>
    <w:rsid w:val="007A7FB9"/>
    <w:rsid w:val="007B02A2"/>
    <w:rsid w:val="007B0977"/>
    <w:rsid w:val="007B142C"/>
    <w:rsid w:val="007B5814"/>
    <w:rsid w:val="007B6BA2"/>
    <w:rsid w:val="007B7FEE"/>
    <w:rsid w:val="007C0512"/>
    <w:rsid w:val="007C2039"/>
    <w:rsid w:val="007C2CDB"/>
    <w:rsid w:val="007C3D2C"/>
    <w:rsid w:val="007C4101"/>
    <w:rsid w:val="007C41E4"/>
    <w:rsid w:val="007C51B7"/>
    <w:rsid w:val="007C57B4"/>
    <w:rsid w:val="007C7809"/>
    <w:rsid w:val="007C7CD2"/>
    <w:rsid w:val="007D093A"/>
    <w:rsid w:val="007D09D5"/>
    <w:rsid w:val="007D0AB1"/>
    <w:rsid w:val="007D2516"/>
    <w:rsid w:val="007D2BEF"/>
    <w:rsid w:val="007D3236"/>
    <w:rsid w:val="007D4DC2"/>
    <w:rsid w:val="007D58B7"/>
    <w:rsid w:val="007D5F33"/>
    <w:rsid w:val="007D7408"/>
    <w:rsid w:val="007E0A75"/>
    <w:rsid w:val="007E0F52"/>
    <w:rsid w:val="007E20F6"/>
    <w:rsid w:val="007E2969"/>
    <w:rsid w:val="007E2B92"/>
    <w:rsid w:val="007E31E1"/>
    <w:rsid w:val="007E517B"/>
    <w:rsid w:val="007E7586"/>
    <w:rsid w:val="007E7EBD"/>
    <w:rsid w:val="007F0AB0"/>
    <w:rsid w:val="007F0F87"/>
    <w:rsid w:val="007F200B"/>
    <w:rsid w:val="007F2C3D"/>
    <w:rsid w:val="007F432D"/>
    <w:rsid w:val="007F49BA"/>
    <w:rsid w:val="007F7025"/>
    <w:rsid w:val="007F7168"/>
    <w:rsid w:val="007F71B3"/>
    <w:rsid w:val="008003D8"/>
    <w:rsid w:val="00800796"/>
    <w:rsid w:val="008007C8"/>
    <w:rsid w:val="008009B4"/>
    <w:rsid w:val="00800D1D"/>
    <w:rsid w:val="008022B3"/>
    <w:rsid w:val="00802D85"/>
    <w:rsid w:val="00804013"/>
    <w:rsid w:val="008047C6"/>
    <w:rsid w:val="00804888"/>
    <w:rsid w:val="00804DF1"/>
    <w:rsid w:val="008052A7"/>
    <w:rsid w:val="008052EB"/>
    <w:rsid w:val="008059CD"/>
    <w:rsid w:val="008062C5"/>
    <w:rsid w:val="00806303"/>
    <w:rsid w:val="0080632D"/>
    <w:rsid w:val="00807055"/>
    <w:rsid w:val="00807581"/>
    <w:rsid w:val="00810976"/>
    <w:rsid w:val="008116F0"/>
    <w:rsid w:val="00813FC8"/>
    <w:rsid w:val="00814748"/>
    <w:rsid w:val="00814ED5"/>
    <w:rsid w:val="00815120"/>
    <w:rsid w:val="00816090"/>
    <w:rsid w:val="008177FD"/>
    <w:rsid w:val="008178FB"/>
    <w:rsid w:val="00817BB3"/>
    <w:rsid w:val="00821D45"/>
    <w:rsid w:val="0082259B"/>
    <w:rsid w:val="008235F0"/>
    <w:rsid w:val="00823DC5"/>
    <w:rsid w:val="0082477C"/>
    <w:rsid w:val="0082499F"/>
    <w:rsid w:val="00824F46"/>
    <w:rsid w:val="00825093"/>
    <w:rsid w:val="00825701"/>
    <w:rsid w:val="00825A5C"/>
    <w:rsid w:val="00825B7D"/>
    <w:rsid w:val="00826910"/>
    <w:rsid w:val="00827DE6"/>
    <w:rsid w:val="008318D4"/>
    <w:rsid w:val="00831D72"/>
    <w:rsid w:val="00832F72"/>
    <w:rsid w:val="00833178"/>
    <w:rsid w:val="008338D1"/>
    <w:rsid w:val="00833FCA"/>
    <w:rsid w:val="00834B0C"/>
    <w:rsid w:val="00835A99"/>
    <w:rsid w:val="00835BA4"/>
    <w:rsid w:val="008369A0"/>
    <w:rsid w:val="00837068"/>
    <w:rsid w:val="008379FE"/>
    <w:rsid w:val="00837F23"/>
    <w:rsid w:val="00837F69"/>
    <w:rsid w:val="0084027B"/>
    <w:rsid w:val="008405F9"/>
    <w:rsid w:val="00842653"/>
    <w:rsid w:val="00842864"/>
    <w:rsid w:val="00842E3E"/>
    <w:rsid w:val="0084335A"/>
    <w:rsid w:val="00845681"/>
    <w:rsid w:val="00846F17"/>
    <w:rsid w:val="00847A3A"/>
    <w:rsid w:val="008518E1"/>
    <w:rsid w:val="0085191B"/>
    <w:rsid w:val="008530EA"/>
    <w:rsid w:val="00854E0B"/>
    <w:rsid w:val="008556F2"/>
    <w:rsid w:val="0085600A"/>
    <w:rsid w:val="008565EF"/>
    <w:rsid w:val="008575E6"/>
    <w:rsid w:val="008602E7"/>
    <w:rsid w:val="008604E3"/>
    <w:rsid w:val="00860E5D"/>
    <w:rsid w:val="00861708"/>
    <w:rsid w:val="00862019"/>
    <w:rsid w:val="00862639"/>
    <w:rsid w:val="008626FB"/>
    <w:rsid w:val="0086296B"/>
    <w:rsid w:val="00863141"/>
    <w:rsid w:val="008633AC"/>
    <w:rsid w:val="00863AEE"/>
    <w:rsid w:val="00865ED4"/>
    <w:rsid w:val="00866266"/>
    <w:rsid w:val="00867359"/>
    <w:rsid w:val="00867786"/>
    <w:rsid w:val="00870FDF"/>
    <w:rsid w:val="0087177B"/>
    <w:rsid w:val="00871AF9"/>
    <w:rsid w:val="00871B1D"/>
    <w:rsid w:val="008731B0"/>
    <w:rsid w:val="008734DB"/>
    <w:rsid w:val="00874B60"/>
    <w:rsid w:val="00875E23"/>
    <w:rsid w:val="00876126"/>
    <w:rsid w:val="00880AEE"/>
    <w:rsid w:val="00880C70"/>
    <w:rsid w:val="0088122B"/>
    <w:rsid w:val="008814CE"/>
    <w:rsid w:val="00881FC6"/>
    <w:rsid w:val="008821D2"/>
    <w:rsid w:val="00882BA9"/>
    <w:rsid w:val="00882C48"/>
    <w:rsid w:val="00882CE0"/>
    <w:rsid w:val="00882D30"/>
    <w:rsid w:val="0088365D"/>
    <w:rsid w:val="00883893"/>
    <w:rsid w:val="00883A27"/>
    <w:rsid w:val="00884F8F"/>
    <w:rsid w:val="00886112"/>
    <w:rsid w:val="00886248"/>
    <w:rsid w:val="0088678E"/>
    <w:rsid w:val="00886A58"/>
    <w:rsid w:val="00887CFA"/>
    <w:rsid w:val="00887D58"/>
    <w:rsid w:val="00893395"/>
    <w:rsid w:val="00895178"/>
    <w:rsid w:val="008962E0"/>
    <w:rsid w:val="008A09E7"/>
    <w:rsid w:val="008A0B9D"/>
    <w:rsid w:val="008A0E87"/>
    <w:rsid w:val="008A124E"/>
    <w:rsid w:val="008A138C"/>
    <w:rsid w:val="008A1D48"/>
    <w:rsid w:val="008A44E9"/>
    <w:rsid w:val="008A450D"/>
    <w:rsid w:val="008A4ED8"/>
    <w:rsid w:val="008A59E0"/>
    <w:rsid w:val="008A6628"/>
    <w:rsid w:val="008B0CBD"/>
    <w:rsid w:val="008B2441"/>
    <w:rsid w:val="008B590C"/>
    <w:rsid w:val="008B5B04"/>
    <w:rsid w:val="008B68C6"/>
    <w:rsid w:val="008B7A6C"/>
    <w:rsid w:val="008B7B1D"/>
    <w:rsid w:val="008C01EE"/>
    <w:rsid w:val="008C129A"/>
    <w:rsid w:val="008C1E2B"/>
    <w:rsid w:val="008C1F44"/>
    <w:rsid w:val="008C32BD"/>
    <w:rsid w:val="008C4471"/>
    <w:rsid w:val="008D15EE"/>
    <w:rsid w:val="008D2013"/>
    <w:rsid w:val="008D2442"/>
    <w:rsid w:val="008D2CE0"/>
    <w:rsid w:val="008D3028"/>
    <w:rsid w:val="008D46D5"/>
    <w:rsid w:val="008D5482"/>
    <w:rsid w:val="008E0051"/>
    <w:rsid w:val="008E222B"/>
    <w:rsid w:val="008E2250"/>
    <w:rsid w:val="008E2CE2"/>
    <w:rsid w:val="008E360C"/>
    <w:rsid w:val="008E4015"/>
    <w:rsid w:val="008E4B2E"/>
    <w:rsid w:val="008E4D13"/>
    <w:rsid w:val="008E5D89"/>
    <w:rsid w:val="008E74E5"/>
    <w:rsid w:val="008F03C7"/>
    <w:rsid w:val="008F2042"/>
    <w:rsid w:val="008F2A15"/>
    <w:rsid w:val="008F3A7F"/>
    <w:rsid w:val="008F4E3B"/>
    <w:rsid w:val="008F4F39"/>
    <w:rsid w:val="008F5653"/>
    <w:rsid w:val="008F672A"/>
    <w:rsid w:val="008F6EB2"/>
    <w:rsid w:val="008F7F9F"/>
    <w:rsid w:val="00900F51"/>
    <w:rsid w:val="00901442"/>
    <w:rsid w:val="00903491"/>
    <w:rsid w:val="00903DCF"/>
    <w:rsid w:val="00903E7B"/>
    <w:rsid w:val="00904E9C"/>
    <w:rsid w:val="00905E4A"/>
    <w:rsid w:val="00907AE6"/>
    <w:rsid w:val="00910163"/>
    <w:rsid w:val="0091024C"/>
    <w:rsid w:val="00910F57"/>
    <w:rsid w:val="00912A2B"/>
    <w:rsid w:val="00912E0A"/>
    <w:rsid w:val="00913D0D"/>
    <w:rsid w:val="0091642F"/>
    <w:rsid w:val="00917A22"/>
    <w:rsid w:val="00917BC3"/>
    <w:rsid w:val="009200DA"/>
    <w:rsid w:val="00920885"/>
    <w:rsid w:val="00921D36"/>
    <w:rsid w:val="0092336C"/>
    <w:rsid w:val="009235C0"/>
    <w:rsid w:val="00926809"/>
    <w:rsid w:val="00926C91"/>
    <w:rsid w:val="00927232"/>
    <w:rsid w:val="009273CD"/>
    <w:rsid w:val="00927EBD"/>
    <w:rsid w:val="00930445"/>
    <w:rsid w:val="0093087A"/>
    <w:rsid w:val="00930D0F"/>
    <w:rsid w:val="0093180D"/>
    <w:rsid w:val="009325EF"/>
    <w:rsid w:val="00933A2B"/>
    <w:rsid w:val="0093433D"/>
    <w:rsid w:val="0093516C"/>
    <w:rsid w:val="00935E31"/>
    <w:rsid w:val="009376A6"/>
    <w:rsid w:val="0093772B"/>
    <w:rsid w:val="00937E3F"/>
    <w:rsid w:val="00940229"/>
    <w:rsid w:val="00940839"/>
    <w:rsid w:val="00940A6E"/>
    <w:rsid w:val="0094344B"/>
    <w:rsid w:val="009454A2"/>
    <w:rsid w:val="00945F22"/>
    <w:rsid w:val="00945F4A"/>
    <w:rsid w:val="00947552"/>
    <w:rsid w:val="00951526"/>
    <w:rsid w:val="00951F04"/>
    <w:rsid w:val="0095308C"/>
    <w:rsid w:val="009530C2"/>
    <w:rsid w:val="009538F2"/>
    <w:rsid w:val="009551D3"/>
    <w:rsid w:val="00955A04"/>
    <w:rsid w:val="009560D4"/>
    <w:rsid w:val="00956BF8"/>
    <w:rsid w:val="00957166"/>
    <w:rsid w:val="00957966"/>
    <w:rsid w:val="0096188D"/>
    <w:rsid w:val="00961CC1"/>
    <w:rsid w:val="00962F16"/>
    <w:rsid w:val="00963F49"/>
    <w:rsid w:val="009643F5"/>
    <w:rsid w:val="0096660F"/>
    <w:rsid w:val="00966754"/>
    <w:rsid w:val="00966D3D"/>
    <w:rsid w:val="00966D57"/>
    <w:rsid w:val="009675C5"/>
    <w:rsid w:val="00970140"/>
    <w:rsid w:val="00970839"/>
    <w:rsid w:val="00970A61"/>
    <w:rsid w:val="00970CE4"/>
    <w:rsid w:val="009711E0"/>
    <w:rsid w:val="00971F6B"/>
    <w:rsid w:val="00973206"/>
    <w:rsid w:val="009742B9"/>
    <w:rsid w:val="0097544C"/>
    <w:rsid w:val="00977F83"/>
    <w:rsid w:val="009821C2"/>
    <w:rsid w:val="00982528"/>
    <w:rsid w:val="00983F03"/>
    <w:rsid w:val="0098407B"/>
    <w:rsid w:val="00984098"/>
    <w:rsid w:val="009854CF"/>
    <w:rsid w:val="009856E8"/>
    <w:rsid w:val="0098628C"/>
    <w:rsid w:val="00986585"/>
    <w:rsid w:val="009903C1"/>
    <w:rsid w:val="0099138C"/>
    <w:rsid w:val="009913FA"/>
    <w:rsid w:val="0099151A"/>
    <w:rsid w:val="009920AE"/>
    <w:rsid w:val="00992B40"/>
    <w:rsid w:val="00992BE3"/>
    <w:rsid w:val="00993224"/>
    <w:rsid w:val="009934A0"/>
    <w:rsid w:val="00995C88"/>
    <w:rsid w:val="00997943"/>
    <w:rsid w:val="00997F4F"/>
    <w:rsid w:val="009A1033"/>
    <w:rsid w:val="009A1F58"/>
    <w:rsid w:val="009A3DD7"/>
    <w:rsid w:val="009A49D7"/>
    <w:rsid w:val="009A4AC6"/>
    <w:rsid w:val="009A58BD"/>
    <w:rsid w:val="009A605A"/>
    <w:rsid w:val="009A728B"/>
    <w:rsid w:val="009B02CA"/>
    <w:rsid w:val="009B12D9"/>
    <w:rsid w:val="009B1FA8"/>
    <w:rsid w:val="009B270C"/>
    <w:rsid w:val="009B2CB6"/>
    <w:rsid w:val="009B3604"/>
    <w:rsid w:val="009B52E0"/>
    <w:rsid w:val="009B5A7B"/>
    <w:rsid w:val="009B7474"/>
    <w:rsid w:val="009B7F5A"/>
    <w:rsid w:val="009C33B1"/>
    <w:rsid w:val="009C4AC6"/>
    <w:rsid w:val="009C5427"/>
    <w:rsid w:val="009C7806"/>
    <w:rsid w:val="009C79D1"/>
    <w:rsid w:val="009C7D20"/>
    <w:rsid w:val="009D0491"/>
    <w:rsid w:val="009D0A0D"/>
    <w:rsid w:val="009D176E"/>
    <w:rsid w:val="009D2E42"/>
    <w:rsid w:val="009D2F30"/>
    <w:rsid w:val="009D3A42"/>
    <w:rsid w:val="009D3A84"/>
    <w:rsid w:val="009D6B5B"/>
    <w:rsid w:val="009D6E2C"/>
    <w:rsid w:val="009D7CDB"/>
    <w:rsid w:val="009E0073"/>
    <w:rsid w:val="009E016F"/>
    <w:rsid w:val="009E023F"/>
    <w:rsid w:val="009E0AD0"/>
    <w:rsid w:val="009E0DC3"/>
    <w:rsid w:val="009E2054"/>
    <w:rsid w:val="009E3E1E"/>
    <w:rsid w:val="009E4DB9"/>
    <w:rsid w:val="009E5854"/>
    <w:rsid w:val="009E6FD0"/>
    <w:rsid w:val="009E7AD4"/>
    <w:rsid w:val="009F0032"/>
    <w:rsid w:val="009F2222"/>
    <w:rsid w:val="009F2A4E"/>
    <w:rsid w:val="009F36E8"/>
    <w:rsid w:val="009F4B8D"/>
    <w:rsid w:val="009F51B7"/>
    <w:rsid w:val="009F55A1"/>
    <w:rsid w:val="009F6F59"/>
    <w:rsid w:val="009F77EB"/>
    <w:rsid w:val="009F7D52"/>
    <w:rsid w:val="00A007DA"/>
    <w:rsid w:val="00A0102F"/>
    <w:rsid w:val="00A011EE"/>
    <w:rsid w:val="00A0144B"/>
    <w:rsid w:val="00A0184E"/>
    <w:rsid w:val="00A02DAB"/>
    <w:rsid w:val="00A03294"/>
    <w:rsid w:val="00A03FDA"/>
    <w:rsid w:val="00A04EC2"/>
    <w:rsid w:val="00A053A0"/>
    <w:rsid w:val="00A05541"/>
    <w:rsid w:val="00A05AAB"/>
    <w:rsid w:val="00A05E6D"/>
    <w:rsid w:val="00A068AD"/>
    <w:rsid w:val="00A077D1"/>
    <w:rsid w:val="00A10832"/>
    <w:rsid w:val="00A1128F"/>
    <w:rsid w:val="00A11BE6"/>
    <w:rsid w:val="00A121F1"/>
    <w:rsid w:val="00A126E8"/>
    <w:rsid w:val="00A13FE8"/>
    <w:rsid w:val="00A14108"/>
    <w:rsid w:val="00A14AB9"/>
    <w:rsid w:val="00A158AF"/>
    <w:rsid w:val="00A174FD"/>
    <w:rsid w:val="00A20075"/>
    <w:rsid w:val="00A21642"/>
    <w:rsid w:val="00A21C7B"/>
    <w:rsid w:val="00A2319B"/>
    <w:rsid w:val="00A23E26"/>
    <w:rsid w:val="00A24BDB"/>
    <w:rsid w:val="00A24D87"/>
    <w:rsid w:val="00A26B44"/>
    <w:rsid w:val="00A274D3"/>
    <w:rsid w:val="00A30F8B"/>
    <w:rsid w:val="00A31FD8"/>
    <w:rsid w:val="00A32232"/>
    <w:rsid w:val="00A3256D"/>
    <w:rsid w:val="00A32E30"/>
    <w:rsid w:val="00A33A7A"/>
    <w:rsid w:val="00A33D1F"/>
    <w:rsid w:val="00A34DCC"/>
    <w:rsid w:val="00A37238"/>
    <w:rsid w:val="00A37D48"/>
    <w:rsid w:val="00A40053"/>
    <w:rsid w:val="00A4120B"/>
    <w:rsid w:val="00A413D4"/>
    <w:rsid w:val="00A41611"/>
    <w:rsid w:val="00A41797"/>
    <w:rsid w:val="00A430FE"/>
    <w:rsid w:val="00A432A8"/>
    <w:rsid w:val="00A448B6"/>
    <w:rsid w:val="00A458C9"/>
    <w:rsid w:val="00A462A9"/>
    <w:rsid w:val="00A474DC"/>
    <w:rsid w:val="00A4757E"/>
    <w:rsid w:val="00A47CF4"/>
    <w:rsid w:val="00A50847"/>
    <w:rsid w:val="00A51A89"/>
    <w:rsid w:val="00A5302B"/>
    <w:rsid w:val="00A53392"/>
    <w:rsid w:val="00A5582F"/>
    <w:rsid w:val="00A563A2"/>
    <w:rsid w:val="00A56E2F"/>
    <w:rsid w:val="00A57079"/>
    <w:rsid w:val="00A57389"/>
    <w:rsid w:val="00A57479"/>
    <w:rsid w:val="00A604AA"/>
    <w:rsid w:val="00A60A36"/>
    <w:rsid w:val="00A61068"/>
    <w:rsid w:val="00A613DB"/>
    <w:rsid w:val="00A61419"/>
    <w:rsid w:val="00A6403E"/>
    <w:rsid w:val="00A64345"/>
    <w:rsid w:val="00A648FB"/>
    <w:rsid w:val="00A65165"/>
    <w:rsid w:val="00A6549C"/>
    <w:rsid w:val="00A6575C"/>
    <w:rsid w:val="00A65872"/>
    <w:rsid w:val="00A65A09"/>
    <w:rsid w:val="00A661DD"/>
    <w:rsid w:val="00A67B6E"/>
    <w:rsid w:val="00A703F3"/>
    <w:rsid w:val="00A70798"/>
    <w:rsid w:val="00A712C8"/>
    <w:rsid w:val="00A713FA"/>
    <w:rsid w:val="00A71851"/>
    <w:rsid w:val="00A71B8E"/>
    <w:rsid w:val="00A72476"/>
    <w:rsid w:val="00A73E45"/>
    <w:rsid w:val="00A73EB3"/>
    <w:rsid w:val="00A741DF"/>
    <w:rsid w:val="00A7420B"/>
    <w:rsid w:val="00A759BE"/>
    <w:rsid w:val="00A761EE"/>
    <w:rsid w:val="00A769B5"/>
    <w:rsid w:val="00A80BF2"/>
    <w:rsid w:val="00A82FB8"/>
    <w:rsid w:val="00A84927"/>
    <w:rsid w:val="00A857B6"/>
    <w:rsid w:val="00A85832"/>
    <w:rsid w:val="00A85C7B"/>
    <w:rsid w:val="00A86763"/>
    <w:rsid w:val="00A87958"/>
    <w:rsid w:val="00A8797B"/>
    <w:rsid w:val="00A9060C"/>
    <w:rsid w:val="00A91778"/>
    <w:rsid w:val="00A921E7"/>
    <w:rsid w:val="00A927ED"/>
    <w:rsid w:val="00A9414F"/>
    <w:rsid w:val="00A9438A"/>
    <w:rsid w:val="00A95655"/>
    <w:rsid w:val="00A9658A"/>
    <w:rsid w:val="00A96FEC"/>
    <w:rsid w:val="00A97472"/>
    <w:rsid w:val="00A974F0"/>
    <w:rsid w:val="00AA08EB"/>
    <w:rsid w:val="00AA0B1E"/>
    <w:rsid w:val="00AA0F39"/>
    <w:rsid w:val="00AA1235"/>
    <w:rsid w:val="00AA1959"/>
    <w:rsid w:val="00AA2C08"/>
    <w:rsid w:val="00AA2D0C"/>
    <w:rsid w:val="00AA455D"/>
    <w:rsid w:val="00AA6309"/>
    <w:rsid w:val="00AA7CA2"/>
    <w:rsid w:val="00AB0936"/>
    <w:rsid w:val="00AB0B59"/>
    <w:rsid w:val="00AB0FFC"/>
    <w:rsid w:val="00AB1630"/>
    <w:rsid w:val="00AB17FF"/>
    <w:rsid w:val="00AB28D9"/>
    <w:rsid w:val="00AB2E43"/>
    <w:rsid w:val="00AB3EF0"/>
    <w:rsid w:val="00AB44F8"/>
    <w:rsid w:val="00AB5D79"/>
    <w:rsid w:val="00AB63A2"/>
    <w:rsid w:val="00AB6A15"/>
    <w:rsid w:val="00AB6F0E"/>
    <w:rsid w:val="00AB7173"/>
    <w:rsid w:val="00AB7B7A"/>
    <w:rsid w:val="00AC074C"/>
    <w:rsid w:val="00AC0CDA"/>
    <w:rsid w:val="00AC2D5C"/>
    <w:rsid w:val="00AC2DB8"/>
    <w:rsid w:val="00AC33B4"/>
    <w:rsid w:val="00AC38D6"/>
    <w:rsid w:val="00AC3C51"/>
    <w:rsid w:val="00AC4D09"/>
    <w:rsid w:val="00AC505A"/>
    <w:rsid w:val="00AC553F"/>
    <w:rsid w:val="00AC55B9"/>
    <w:rsid w:val="00AC7E49"/>
    <w:rsid w:val="00AD0305"/>
    <w:rsid w:val="00AD22C0"/>
    <w:rsid w:val="00AD22FC"/>
    <w:rsid w:val="00AD272F"/>
    <w:rsid w:val="00AD2956"/>
    <w:rsid w:val="00AD3892"/>
    <w:rsid w:val="00AD44A6"/>
    <w:rsid w:val="00AD68F4"/>
    <w:rsid w:val="00AD7D47"/>
    <w:rsid w:val="00AE0879"/>
    <w:rsid w:val="00AE147C"/>
    <w:rsid w:val="00AE220F"/>
    <w:rsid w:val="00AE34AE"/>
    <w:rsid w:val="00AE3FCA"/>
    <w:rsid w:val="00AE422C"/>
    <w:rsid w:val="00AE4E5E"/>
    <w:rsid w:val="00AE57A0"/>
    <w:rsid w:val="00AE748A"/>
    <w:rsid w:val="00AE79C7"/>
    <w:rsid w:val="00AF32D0"/>
    <w:rsid w:val="00AF3FFD"/>
    <w:rsid w:val="00AF5A53"/>
    <w:rsid w:val="00AF5D4F"/>
    <w:rsid w:val="00AF68A0"/>
    <w:rsid w:val="00AF71DF"/>
    <w:rsid w:val="00AF72E4"/>
    <w:rsid w:val="00AF7E3B"/>
    <w:rsid w:val="00B00336"/>
    <w:rsid w:val="00B01029"/>
    <w:rsid w:val="00B01564"/>
    <w:rsid w:val="00B04B62"/>
    <w:rsid w:val="00B05476"/>
    <w:rsid w:val="00B056EA"/>
    <w:rsid w:val="00B05DDB"/>
    <w:rsid w:val="00B07EA1"/>
    <w:rsid w:val="00B134E1"/>
    <w:rsid w:val="00B13A6C"/>
    <w:rsid w:val="00B1505B"/>
    <w:rsid w:val="00B1607F"/>
    <w:rsid w:val="00B16B6D"/>
    <w:rsid w:val="00B16DE4"/>
    <w:rsid w:val="00B17001"/>
    <w:rsid w:val="00B17BD0"/>
    <w:rsid w:val="00B23599"/>
    <w:rsid w:val="00B24100"/>
    <w:rsid w:val="00B2439D"/>
    <w:rsid w:val="00B250E9"/>
    <w:rsid w:val="00B26097"/>
    <w:rsid w:val="00B26B63"/>
    <w:rsid w:val="00B26C0C"/>
    <w:rsid w:val="00B27F8B"/>
    <w:rsid w:val="00B31922"/>
    <w:rsid w:val="00B32226"/>
    <w:rsid w:val="00B32E21"/>
    <w:rsid w:val="00B3363A"/>
    <w:rsid w:val="00B3372B"/>
    <w:rsid w:val="00B33ED8"/>
    <w:rsid w:val="00B33FE6"/>
    <w:rsid w:val="00B34052"/>
    <w:rsid w:val="00B34225"/>
    <w:rsid w:val="00B34CA5"/>
    <w:rsid w:val="00B34CB3"/>
    <w:rsid w:val="00B356DD"/>
    <w:rsid w:val="00B36573"/>
    <w:rsid w:val="00B376DD"/>
    <w:rsid w:val="00B37C7E"/>
    <w:rsid w:val="00B4023D"/>
    <w:rsid w:val="00B40896"/>
    <w:rsid w:val="00B41B48"/>
    <w:rsid w:val="00B439F4"/>
    <w:rsid w:val="00B44039"/>
    <w:rsid w:val="00B443EF"/>
    <w:rsid w:val="00B45183"/>
    <w:rsid w:val="00B452A3"/>
    <w:rsid w:val="00B4760D"/>
    <w:rsid w:val="00B4789B"/>
    <w:rsid w:val="00B5055A"/>
    <w:rsid w:val="00B50DD1"/>
    <w:rsid w:val="00B51F54"/>
    <w:rsid w:val="00B522E2"/>
    <w:rsid w:val="00B52537"/>
    <w:rsid w:val="00B52690"/>
    <w:rsid w:val="00B52953"/>
    <w:rsid w:val="00B5503B"/>
    <w:rsid w:val="00B5765E"/>
    <w:rsid w:val="00B57A90"/>
    <w:rsid w:val="00B602CD"/>
    <w:rsid w:val="00B60599"/>
    <w:rsid w:val="00B612F0"/>
    <w:rsid w:val="00B61C00"/>
    <w:rsid w:val="00B62514"/>
    <w:rsid w:val="00B62C4B"/>
    <w:rsid w:val="00B62D3D"/>
    <w:rsid w:val="00B6426A"/>
    <w:rsid w:val="00B64BEA"/>
    <w:rsid w:val="00B64D40"/>
    <w:rsid w:val="00B65C9E"/>
    <w:rsid w:val="00B662C5"/>
    <w:rsid w:val="00B665A4"/>
    <w:rsid w:val="00B672B9"/>
    <w:rsid w:val="00B67344"/>
    <w:rsid w:val="00B67B2E"/>
    <w:rsid w:val="00B67EB2"/>
    <w:rsid w:val="00B7007A"/>
    <w:rsid w:val="00B70EA5"/>
    <w:rsid w:val="00B7300E"/>
    <w:rsid w:val="00B74C5E"/>
    <w:rsid w:val="00B7558A"/>
    <w:rsid w:val="00B757E0"/>
    <w:rsid w:val="00B76D5C"/>
    <w:rsid w:val="00B778A5"/>
    <w:rsid w:val="00B77E36"/>
    <w:rsid w:val="00B80160"/>
    <w:rsid w:val="00B80D54"/>
    <w:rsid w:val="00B80ED0"/>
    <w:rsid w:val="00B8163A"/>
    <w:rsid w:val="00B82A34"/>
    <w:rsid w:val="00B836ED"/>
    <w:rsid w:val="00B83ACB"/>
    <w:rsid w:val="00B83B2A"/>
    <w:rsid w:val="00B840C7"/>
    <w:rsid w:val="00B84822"/>
    <w:rsid w:val="00B85651"/>
    <w:rsid w:val="00B85AB9"/>
    <w:rsid w:val="00B8665E"/>
    <w:rsid w:val="00B90598"/>
    <w:rsid w:val="00B9101D"/>
    <w:rsid w:val="00B92AD7"/>
    <w:rsid w:val="00B92B38"/>
    <w:rsid w:val="00B9543D"/>
    <w:rsid w:val="00B959E0"/>
    <w:rsid w:val="00B961D3"/>
    <w:rsid w:val="00B9703A"/>
    <w:rsid w:val="00BA11D8"/>
    <w:rsid w:val="00BA16D8"/>
    <w:rsid w:val="00BA3F0F"/>
    <w:rsid w:val="00BA4BB4"/>
    <w:rsid w:val="00BA5C76"/>
    <w:rsid w:val="00BA6C4A"/>
    <w:rsid w:val="00BA763C"/>
    <w:rsid w:val="00BA775C"/>
    <w:rsid w:val="00BB06A8"/>
    <w:rsid w:val="00BB0F82"/>
    <w:rsid w:val="00BB3191"/>
    <w:rsid w:val="00BB35D9"/>
    <w:rsid w:val="00BB5383"/>
    <w:rsid w:val="00BB599A"/>
    <w:rsid w:val="00BB5D6A"/>
    <w:rsid w:val="00BB65E6"/>
    <w:rsid w:val="00BB7122"/>
    <w:rsid w:val="00BC163D"/>
    <w:rsid w:val="00BC226F"/>
    <w:rsid w:val="00BC2ACE"/>
    <w:rsid w:val="00BC35EE"/>
    <w:rsid w:val="00BC3FAA"/>
    <w:rsid w:val="00BC4696"/>
    <w:rsid w:val="00BC47F3"/>
    <w:rsid w:val="00BC5D5A"/>
    <w:rsid w:val="00BC72C5"/>
    <w:rsid w:val="00BC75F3"/>
    <w:rsid w:val="00BC79B8"/>
    <w:rsid w:val="00BD0407"/>
    <w:rsid w:val="00BD119A"/>
    <w:rsid w:val="00BD2987"/>
    <w:rsid w:val="00BD2C7B"/>
    <w:rsid w:val="00BD50AA"/>
    <w:rsid w:val="00BD5B82"/>
    <w:rsid w:val="00BD6528"/>
    <w:rsid w:val="00BD68E4"/>
    <w:rsid w:val="00BD73C2"/>
    <w:rsid w:val="00BE28B8"/>
    <w:rsid w:val="00BE3EA0"/>
    <w:rsid w:val="00BE4275"/>
    <w:rsid w:val="00BE5FAC"/>
    <w:rsid w:val="00BE73A3"/>
    <w:rsid w:val="00BE7CF1"/>
    <w:rsid w:val="00BF0BEA"/>
    <w:rsid w:val="00BF1249"/>
    <w:rsid w:val="00BF2472"/>
    <w:rsid w:val="00BF2C26"/>
    <w:rsid w:val="00BF3705"/>
    <w:rsid w:val="00BF4123"/>
    <w:rsid w:val="00BF44F5"/>
    <w:rsid w:val="00BF5527"/>
    <w:rsid w:val="00BF56A4"/>
    <w:rsid w:val="00BF5B32"/>
    <w:rsid w:val="00BF6E0F"/>
    <w:rsid w:val="00BF706B"/>
    <w:rsid w:val="00BF7E21"/>
    <w:rsid w:val="00C00D6C"/>
    <w:rsid w:val="00C011A8"/>
    <w:rsid w:val="00C01EBF"/>
    <w:rsid w:val="00C03277"/>
    <w:rsid w:val="00C0333A"/>
    <w:rsid w:val="00C033FB"/>
    <w:rsid w:val="00C04757"/>
    <w:rsid w:val="00C049AA"/>
    <w:rsid w:val="00C05DB3"/>
    <w:rsid w:val="00C07894"/>
    <w:rsid w:val="00C07F5C"/>
    <w:rsid w:val="00C1012D"/>
    <w:rsid w:val="00C10563"/>
    <w:rsid w:val="00C111B8"/>
    <w:rsid w:val="00C11FFA"/>
    <w:rsid w:val="00C1253D"/>
    <w:rsid w:val="00C12728"/>
    <w:rsid w:val="00C13B0C"/>
    <w:rsid w:val="00C146F5"/>
    <w:rsid w:val="00C15A1A"/>
    <w:rsid w:val="00C17305"/>
    <w:rsid w:val="00C2211D"/>
    <w:rsid w:val="00C23412"/>
    <w:rsid w:val="00C23738"/>
    <w:rsid w:val="00C24483"/>
    <w:rsid w:val="00C24FB0"/>
    <w:rsid w:val="00C2732E"/>
    <w:rsid w:val="00C273EF"/>
    <w:rsid w:val="00C32616"/>
    <w:rsid w:val="00C337AA"/>
    <w:rsid w:val="00C33B73"/>
    <w:rsid w:val="00C34684"/>
    <w:rsid w:val="00C34E33"/>
    <w:rsid w:val="00C35310"/>
    <w:rsid w:val="00C35509"/>
    <w:rsid w:val="00C355F0"/>
    <w:rsid w:val="00C37A5C"/>
    <w:rsid w:val="00C37F8C"/>
    <w:rsid w:val="00C42E1D"/>
    <w:rsid w:val="00C449A2"/>
    <w:rsid w:val="00C469EC"/>
    <w:rsid w:val="00C504F2"/>
    <w:rsid w:val="00C510C8"/>
    <w:rsid w:val="00C5278D"/>
    <w:rsid w:val="00C52E1C"/>
    <w:rsid w:val="00C53BEE"/>
    <w:rsid w:val="00C53E07"/>
    <w:rsid w:val="00C54542"/>
    <w:rsid w:val="00C5500B"/>
    <w:rsid w:val="00C550BF"/>
    <w:rsid w:val="00C55381"/>
    <w:rsid w:val="00C55BF9"/>
    <w:rsid w:val="00C564BC"/>
    <w:rsid w:val="00C60320"/>
    <w:rsid w:val="00C6078E"/>
    <w:rsid w:val="00C60EE3"/>
    <w:rsid w:val="00C61D67"/>
    <w:rsid w:val="00C61E41"/>
    <w:rsid w:val="00C632B3"/>
    <w:rsid w:val="00C64AC2"/>
    <w:rsid w:val="00C653D9"/>
    <w:rsid w:val="00C662AC"/>
    <w:rsid w:val="00C66452"/>
    <w:rsid w:val="00C66939"/>
    <w:rsid w:val="00C66B53"/>
    <w:rsid w:val="00C673B1"/>
    <w:rsid w:val="00C67B3A"/>
    <w:rsid w:val="00C67C7C"/>
    <w:rsid w:val="00C7206F"/>
    <w:rsid w:val="00C75339"/>
    <w:rsid w:val="00C7605C"/>
    <w:rsid w:val="00C76A29"/>
    <w:rsid w:val="00C777A9"/>
    <w:rsid w:val="00C8076B"/>
    <w:rsid w:val="00C81088"/>
    <w:rsid w:val="00C81881"/>
    <w:rsid w:val="00C81DA8"/>
    <w:rsid w:val="00C82387"/>
    <w:rsid w:val="00C82F0B"/>
    <w:rsid w:val="00C838A3"/>
    <w:rsid w:val="00C85A50"/>
    <w:rsid w:val="00C866FD"/>
    <w:rsid w:val="00C8683D"/>
    <w:rsid w:val="00C90794"/>
    <w:rsid w:val="00C90CEF"/>
    <w:rsid w:val="00C90F14"/>
    <w:rsid w:val="00C9156C"/>
    <w:rsid w:val="00C92869"/>
    <w:rsid w:val="00C92D71"/>
    <w:rsid w:val="00C93F7E"/>
    <w:rsid w:val="00C97051"/>
    <w:rsid w:val="00C976F5"/>
    <w:rsid w:val="00C97722"/>
    <w:rsid w:val="00C9786D"/>
    <w:rsid w:val="00C97E2D"/>
    <w:rsid w:val="00CA035C"/>
    <w:rsid w:val="00CA0AD8"/>
    <w:rsid w:val="00CA0BF8"/>
    <w:rsid w:val="00CA0D2B"/>
    <w:rsid w:val="00CA0DA4"/>
    <w:rsid w:val="00CA1C5D"/>
    <w:rsid w:val="00CA1D56"/>
    <w:rsid w:val="00CA2912"/>
    <w:rsid w:val="00CA3FDD"/>
    <w:rsid w:val="00CA4609"/>
    <w:rsid w:val="00CA4A67"/>
    <w:rsid w:val="00CA4ABA"/>
    <w:rsid w:val="00CA6DD2"/>
    <w:rsid w:val="00CA7D80"/>
    <w:rsid w:val="00CB0E84"/>
    <w:rsid w:val="00CB246B"/>
    <w:rsid w:val="00CB3950"/>
    <w:rsid w:val="00CB3CA5"/>
    <w:rsid w:val="00CB6E87"/>
    <w:rsid w:val="00CB7767"/>
    <w:rsid w:val="00CC21F9"/>
    <w:rsid w:val="00CC221B"/>
    <w:rsid w:val="00CC2916"/>
    <w:rsid w:val="00CC2973"/>
    <w:rsid w:val="00CC3019"/>
    <w:rsid w:val="00CC3190"/>
    <w:rsid w:val="00CC560D"/>
    <w:rsid w:val="00CC5699"/>
    <w:rsid w:val="00CC60F2"/>
    <w:rsid w:val="00CC61ED"/>
    <w:rsid w:val="00CC6A2D"/>
    <w:rsid w:val="00CC6A2F"/>
    <w:rsid w:val="00CC6FEF"/>
    <w:rsid w:val="00CC7234"/>
    <w:rsid w:val="00CC73A3"/>
    <w:rsid w:val="00CD22B6"/>
    <w:rsid w:val="00CD2450"/>
    <w:rsid w:val="00CD4C3D"/>
    <w:rsid w:val="00CD4C7C"/>
    <w:rsid w:val="00CD603B"/>
    <w:rsid w:val="00CE0852"/>
    <w:rsid w:val="00CE1ED0"/>
    <w:rsid w:val="00CE32D4"/>
    <w:rsid w:val="00CE33F7"/>
    <w:rsid w:val="00CE47B6"/>
    <w:rsid w:val="00CE51AF"/>
    <w:rsid w:val="00CE51B3"/>
    <w:rsid w:val="00CE5F5E"/>
    <w:rsid w:val="00CF0681"/>
    <w:rsid w:val="00CF1CB1"/>
    <w:rsid w:val="00CF3648"/>
    <w:rsid w:val="00CF3922"/>
    <w:rsid w:val="00CF39D8"/>
    <w:rsid w:val="00CF4B8B"/>
    <w:rsid w:val="00CF4CE5"/>
    <w:rsid w:val="00CF6206"/>
    <w:rsid w:val="00CF654B"/>
    <w:rsid w:val="00D03327"/>
    <w:rsid w:val="00D037F9"/>
    <w:rsid w:val="00D0403F"/>
    <w:rsid w:val="00D042EE"/>
    <w:rsid w:val="00D048A1"/>
    <w:rsid w:val="00D04FE1"/>
    <w:rsid w:val="00D05BB5"/>
    <w:rsid w:val="00D06D62"/>
    <w:rsid w:val="00D07313"/>
    <w:rsid w:val="00D074E6"/>
    <w:rsid w:val="00D10D73"/>
    <w:rsid w:val="00D11335"/>
    <w:rsid w:val="00D12626"/>
    <w:rsid w:val="00D12B45"/>
    <w:rsid w:val="00D133C6"/>
    <w:rsid w:val="00D13C90"/>
    <w:rsid w:val="00D14296"/>
    <w:rsid w:val="00D1600F"/>
    <w:rsid w:val="00D165E6"/>
    <w:rsid w:val="00D16608"/>
    <w:rsid w:val="00D16847"/>
    <w:rsid w:val="00D16CAC"/>
    <w:rsid w:val="00D17088"/>
    <w:rsid w:val="00D20864"/>
    <w:rsid w:val="00D21EAA"/>
    <w:rsid w:val="00D229F3"/>
    <w:rsid w:val="00D2363F"/>
    <w:rsid w:val="00D2418F"/>
    <w:rsid w:val="00D24C67"/>
    <w:rsid w:val="00D25185"/>
    <w:rsid w:val="00D274C9"/>
    <w:rsid w:val="00D2789F"/>
    <w:rsid w:val="00D27A46"/>
    <w:rsid w:val="00D27E34"/>
    <w:rsid w:val="00D27EB6"/>
    <w:rsid w:val="00D31B95"/>
    <w:rsid w:val="00D324E6"/>
    <w:rsid w:val="00D32836"/>
    <w:rsid w:val="00D32B10"/>
    <w:rsid w:val="00D33ABF"/>
    <w:rsid w:val="00D33F02"/>
    <w:rsid w:val="00D353EE"/>
    <w:rsid w:val="00D355BE"/>
    <w:rsid w:val="00D360C9"/>
    <w:rsid w:val="00D41E5F"/>
    <w:rsid w:val="00D42713"/>
    <w:rsid w:val="00D42A72"/>
    <w:rsid w:val="00D42C93"/>
    <w:rsid w:val="00D42F05"/>
    <w:rsid w:val="00D436AC"/>
    <w:rsid w:val="00D437CE"/>
    <w:rsid w:val="00D43F59"/>
    <w:rsid w:val="00D442E2"/>
    <w:rsid w:val="00D44719"/>
    <w:rsid w:val="00D4641E"/>
    <w:rsid w:val="00D46497"/>
    <w:rsid w:val="00D46A05"/>
    <w:rsid w:val="00D46A4C"/>
    <w:rsid w:val="00D471CC"/>
    <w:rsid w:val="00D475F7"/>
    <w:rsid w:val="00D477E7"/>
    <w:rsid w:val="00D510F6"/>
    <w:rsid w:val="00D54788"/>
    <w:rsid w:val="00D5698D"/>
    <w:rsid w:val="00D56BFD"/>
    <w:rsid w:val="00D6014E"/>
    <w:rsid w:val="00D60638"/>
    <w:rsid w:val="00D61E04"/>
    <w:rsid w:val="00D61FE9"/>
    <w:rsid w:val="00D63EA1"/>
    <w:rsid w:val="00D64061"/>
    <w:rsid w:val="00D64EA4"/>
    <w:rsid w:val="00D664EA"/>
    <w:rsid w:val="00D6669C"/>
    <w:rsid w:val="00D66FDF"/>
    <w:rsid w:val="00D673C2"/>
    <w:rsid w:val="00D70725"/>
    <w:rsid w:val="00D71DC4"/>
    <w:rsid w:val="00D73661"/>
    <w:rsid w:val="00D738E7"/>
    <w:rsid w:val="00D73987"/>
    <w:rsid w:val="00D74815"/>
    <w:rsid w:val="00D7708A"/>
    <w:rsid w:val="00D77C27"/>
    <w:rsid w:val="00D77D13"/>
    <w:rsid w:val="00D82969"/>
    <w:rsid w:val="00D82A20"/>
    <w:rsid w:val="00D82B11"/>
    <w:rsid w:val="00D83DAD"/>
    <w:rsid w:val="00D841DA"/>
    <w:rsid w:val="00D850A1"/>
    <w:rsid w:val="00D85BD9"/>
    <w:rsid w:val="00D85E35"/>
    <w:rsid w:val="00D86403"/>
    <w:rsid w:val="00D87CEE"/>
    <w:rsid w:val="00D90654"/>
    <w:rsid w:val="00D90D7B"/>
    <w:rsid w:val="00D914E0"/>
    <w:rsid w:val="00D916C4"/>
    <w:rsid w:val="00D9180F"/>
    <w:rsid w:val="00D93731"/>
    <w:rsid w:val="00D94F0C"/>
    <w:rsid w:val="00D951AF"/>
    <w:rsid w:val="00D96CD4"/>
    <w:rsid w:val="00D97B9A"/>
    <w:rsid w:val="00DA05B0"/>
    <w:rsid w:val="00DA0854"/>
    <w:rsid w:val="00DA13FD"/>
    <w:rsid w:val="00DA14D0"/>
    <w:rsid w:val="00DA2386"/>
    <w:rsid w:val="00DA3880"/>
    <w:rsid w:val="00DA464C"/>
    <w:rsid w:val="00DA4E8A"/>
    <w:rsid w:val="00DA5D93"/>
    <w:rsid w:val="00DA70AF"/>
    <w:rsid w:val="00DA7E81"/>
    <w:rsid w:val="00DB0A4F"/>
    <w:rsid w:val="00DB0AAE"/>
    <w:rsid w:val="00DB19FB"/>
    <w:rsid w:val="00DB22B8"/>
    <w:rsid w:val="00DB2C52"/>
    <w:rsid w:val="00DB2DE0"/>
    <w:rsid w:val="00DB3D7F"/>
    <w:rsid w:val="00DB47DB"/>
    <w:rsid w:val="00DB4EA5"/>
    <w:rsid w:val="00DB4F9B"/>
    <w:rsid w:val="00DB5C00"/>
    <w:rsid w:val="00DB6533"/>
    <w:rsid w:val="00DB698C"/>
    <w:rsid w:val="00DB6A3F"/>
    <w:rsid w:val="00DB7D44"/>
    <w:rsid w:val="00DC02E7"/>
    <w:rsid w:val="00DC52B2"/>
    <w:rsid w:val="00DC572A"/>
    <w:rsid w:val="00DC5B8E"/>
    <w:rsid w:val="00DC6759"/>
    <w:rsid w:val="00DC7538"/>
    <w:rsid w:val="00DD02E4"/>
    <w:rsid w:val="00DD0CD5"/>
    <w:rsid w:val="00DD202D"/>
    <w:rsid w:val="00DD21B4"/>
    <w:rsid w:val="00DD23B7"/>
    <w:rsid w:val="00DD2668"/>
    <w:rsid w:val="00DD4182"/>
    <w:rsid w:val="00DD45B2"/>
    <w:rsid w:val="00DD50D7"/>
    <w:rsid w:val="00DD54D1"/>
    <w:rsid w:val="00DD55A4"/>
    <w:rsid w:val="00DD5C0F"/>
    <w:rsid w:val="00DD65D6"/>
    <w:rsid w:val="00DD6C55"/>
    <w:rsid w:val="00DD74A2"/>
    <w:rsid w:val="00DD7F71"/>
    <w:rsid w:val="00DE07ED"/>
    <w:rsid w:val="00DE3489"/>
    <w:rsid w:val="00DE3A4F"/>
    <w:rsid w:val="00DE453A"/>
    <w:rsid w:val="00DE64A2"/>
    <w:rsid w:val="00DE6DE4"/>
    <w:rsid w:val="00DF02C2"/>
    <w:rsid w:val="00DF0443"/>
    <w:rsid w:val="00DF0CE4"/>
    <w:rsid w:val="00DF107C"/>
    <w:rsid w:val="00DF1093"/>
    <w:rsid w:val="00DF167E"/>
    <w:rsid w:val="00DF2C43"/>
    <w:rsid w:val="00DF2ED5"/>
    <w:rsid w:val="00DF37D0"/>
    <w:rsid w:val="00DF4978"/>
    <w:rsid w:val="00DF5852"/>
    <w:rsid w:val="00DF58FE"/>
    <w:rsid w:val="00DF5949"/>
    <w:rsid w:val="00DF6708"/>
    <w:rsid w:val="00DF6C80"/>
    <w:rsid w:val="00E006BF"/>
    <w:rsid w:val="00E00771"/>
    <w:rsid w:val="00E00836"/>
    <w:rsid w:val="00E011D9"/>
    <w:rsid w:val="00E01612"/>
    <w:rsid w:val="00E02204"/>
    <w:rsid w:val="00E0247C"/>
    <w:rsid w:val="00E026D3"/>
    <w:rsid w:val="00E028FD"/>
    <w:rsid w:val="00E0490B"/>
    <w:rsid w:val="00E050E3"/>
    <w:rsid w:val="00E0770D"/>
    <w:rsid w:val="00E1278A"/>
    <w:rsid w:val="00E12CE6"/>
    <w:rsid w:val="00E12E9B"/>
    <w:rsid w:val="00E13312"/>
    <w:rsid w:val="00E13315"/>
    <w:rsid w:val="00E13947"/>
    <w:rsid w:val="00E13D76"/>
    <w:rsid w:val="00E143E7"/>
    <w:rsid w:val="00E14492"/>
    <w:rsid w:val="00E16A73"/>
    <w:rsid w:val="00E17A5A"/>
    <w:rsid w:val="00E2048E"/>
    <w:rsid w:val="00E20F29"/>
    <w:rsid w:val="00E2180F"/>
    <w:rsid w:val="00E21819"/>
    <w:rsid w:val="00E21A49"/>
    <w:rsid w:val="00E220D5"/>
    <w:rsid w:val="00E22309"/>
    <w:rsid w:val="00E225E3"/>
    <w:rsid w:val="00E22697"/>
    <w:rsid w:val="00E23AF2"/>
    <w:rsid w:val="00E23B19"/>
    <w:rsid w:val="00E23DBC"/>
    <w:rsid w:val="00E25F91"/>
    <w:rsid w:val="00E26433"/>
    <w:rsid w:val="00E26736"/>
    <w:rsid w:val="00E26816"/>
    <w:rsid w:val="00E27273"/>
    <w:rsid w:val="00E30CD1"/>
    <w:rsid w:val="00E30E4F"/>
    <w:rsid w:val="00E3112B"/>
    <w:rsid w:val="00E31C4C"/>
    <w:rsid w:val="00E31C9B"/>
    <w:rsid w:val="00E33BE6"/>
    <w:rsid w:val="00E33D20"/>
    <w:rsid w:val="00E34112"/>
    <w:rsid w:val="00E34F39"/>
    <w:rsid w:val="00E352B2"/>
    <w:rsid w:val="00E3543C"/>
    <w:rsid w:val="00E35FA0"/>
    <w:rsid w:val="00E403D4"/>
    <w:rsid w:val="00E406BE"/>
    <w:rsid w:val="00E412EA"/>
    <w:rsid w:val="00E416AE"/>
    <w:rsid w:val="00E41C23"/>
    <w:rsid w:val="00E421F1"/>
    <w:rsid w:val="00E4228F"/>
    <w:rsid w:val="00E4232A"/>
    <w:rsid w:val="00E44F52"/>
    <w:rsid w:val="00E4728A"/>
    <w:rsid w:val="00E4731F"/>
    <w:rsid w:val="00E47892"/>
    <w:rsid w:val="00E47EA7"/>
    <w:rsid w:val="00E5018A"/>
    <w:rsid w:val="00E50B59"/>
    <w:rsid w:val="00E50B81"/>
    <w:rsid w:val="00E513C6"/>
    <w:rsid w:val="00E53A88"/>
    <w:rsid w:val="00E53EC1"/>
    <w:rsid w:val="00E53FBF"/>
    <w:rsid w:val="00E55349"/>
    <w:rsid w:val="00E55A21"/>
    <w:rsid w:val="00E55F40"/>
    <w:rsid w:val="00E56166"/>
    <w:rsid w:val="00E5741B"/>
    <w:rsid w:val="00E6076E"/>
    <w:rsid w:val="00E6206A"/>
    <w:rsid w:val="00E6278B"/>
    <w:rsid w:val="00E62FE9"/>
    <w:rsid w:val="00E63301"/>
    <w:rsid w:val="00E63C06"/>
    <w:rsid w:val="00E64AE0"/>
    <w:rsid w:val="00E667E0"/>
    <w:rsid w:val="00E70932"/>
    <w:rsid w:val="00E72762"/>
    <w:rsid w:val="00E73203"/>
    <w:rsid w:val="00E7395C"/>
    <w:rsid w:val="00E74725"/>
    <w:rsid w:val="00E74ACF"/>
    <w:rsid w:val="00E74AFE"/>
    <w:rsid w:val="00E757D7"/>
    <w:rsid w:val="00E75B92"/>
    <w:rsid w:val="00E7642D"/>
    <w:rsid w:val="00E76D65"/>
    <w:rsid w:val="00E801B5"/>
    <w:rsid w:val="00E803F8"/>
    <w:rsid w:val="00E80707"/>
    <w:rsid w:val="00E82012"/>
    <w:rsid w:val="00E82392"/>
    <w:rsid w:val="00E8255F"/>
    <w:rsid w:val="00E83C4D"/>
    <w:rsid w:val="00E83F2A"/>
    <w:rsid w:val="00E84A2D"/>
    <w:rsid w:val="00E84D66"/>
    <w:rsid w:val="00E85E7F"/>
    <w:rsid w:val="00E86E8E"/>
    <w:rsid w:val="00E86F77"/>
    <w:rsid w:val="00E87B98"/>
    <w:rsid w:val="00E87C91"/>
    <w:rsid w:val="00E908A1"/>
    <w:rsid w:val="00E90C77"/>
    <w:rsid w:val="00E91A28"/>
    <w:rsid w:val="00E91AAA"/>
    <w:rsid w:val="00E92097"/>
    <w:rsid w:val="00E92FD9"/>
    <w:rsid w:val="00E94B19"/>
    <w:rsid w:val="00E94BF8"/>
    <w:rsid w:val="00E9579F"/>
    <w:rsid w:val="00E95AD3"/>
    <w:rsid w:val="00E97575"/>
    <w:rsid w:val="00EA0C61"/>
    <w:rsid w:val="00EA1C8C"/>
    <w:rsid w:val="00EA20C3"/>
    <w:rsid w:val="00EA358D"/>
    <w:rsid w:val="00EA3D94"/>
    <w:rsid w:val="00EA4CCA"/>
    <w:rsid w:val="00EA5C1C"/>
    <w:rsid w:val="00EA6C75"/>
    <w:rsid w:val="00EA729C"/>
    <w:rsid w:val="00EA77CD"/>
    <w:rsid w:val="00EA7FDC"/>
    <w:rsid w:val="00EB1701"/>
    <w:rsid w:val="00EB1FAD"/>
    <w:rsid w:val="00EB265B"/>
    <w:rsid w:val="00EB278F"/>
    <w:rsid w:val="00EB61FA"/>
    <w:rsid w:val="00EC03B1"/>
    <w:rsid w:val="00EC0FF8"/>
    <w:rsid w:val="00EC14C4"/>
    <w:rsid w:val="00EC1560"/>
    <w:rsid w:val="00EC26C0"/>
    <w:rsid w:val="00EC2DDD"/>
    <w:rsid w:val="00EC336A"/>
    <w:rsid w:val="00EC4AAC"/>
    <w:rsid w:val="00EC5E9F"/>
    <w:rsid w:val="00EC5F92"/>
    <w:rsid w:val="00EC663F"/>
    <w:rsid w:val="00EC7AA3"/>
    <w:rsid w:val="00EC7CE2"/>
    <w:rsid w:val="00EC7E83"/>
    <w:rsid w:val="00ED0BE9"/>
    <w:rsid w:val="00ED0F05"/>
    <w:rsid w:val="00ED0FF9"/>
    <w:rsid w:val="00ED160D"/>
    <w:rsid w:val="00ED1D19"/>
    <w:rsid w:val="00ED1FC2"/>
    <w:rsid w:val="00ED28D6"/>
    <w:rsid w:val="00ED3568"/>
    <w:rsid w:val="00ED417C"/>
    <w:rsid w:val="00ED42DF"/>
    <w:rsid w:val="00ED4A23"/>
    <w:rsid w:val="00ED4D62"/>
    <w:rsid w:val="00ED5352"/>
    <w:rsid w:val="00ED53A2"/>
    <w:rsid w:val="00ED5586"/>
    <w:rsid w:val="00ED788E"/>
    <w:rsid w:val="00EE3B61"/>
    <w:rsid w:val="00EE45BF"/>
    <w:rsid w:val="00EE4E71"/>
    <w:rsid w:val="00EE6B65"/>
    <w:rsid w:val="00EE6BF1"/>
    <w:rsid w:val="00EE6FE7"/>
    <w:rsid w:val="00EE73D1"/>
    <w:rsid w:val="00EE76F5"/>
    <w:rsid w:val="00EE78FD"/>
    <w:rsid w:val="00EE7ECB"/>
    <w:rsid w:val="00EF1160"/>
    <w:rsid w:val="00EF1938"/>
    <w:rsid w:val="00EF20F9"/>
    <w:rsid w:val="00EF2103"/>
    <w:rsid w:val="00EF4D62"/>
    <w:rsid w:val="00EF52E4"/>
    <w:rsid w:val="00EF667B"/>
    <w:rsid w:val="00F004D4"/>
    <w:rsid w:val="00F008C7"/>
    <w:rsid w:val="00F00D96"/>
    <w:rsid w:val="00F01D2E"/>
    <w:rsid w:val="00F032E0"/>
    <w:rsid w:val="00F0344F"/>
    <w:rsid w:val="00F04548"/>
    <w:rsid w:val="00F10281"/>
    <w:rsid w:val="00F10C4C"/>
    <w:rsid w:val="00F11C02"/>
    <w:rsid w:val="00F121FF"/>
    <w:rsid w:val="00F12229"/>
    <w:rsid w:val="00F14A0A"/>
    <w:rsid w:val="00F15156"/>
    <w:rsid w:val="00F16111"/>
    <w:rsid w:val="00F16401"/>
    <w:rsid w:val="00F169F2"/>
    <w:rsid w:val="00F17304"/>
    <w:rsid w:val="00F203D1"/>
    <w:rsid w:val="00F206A7"/>
    <w:rsid w:val="00F20A9A"/>
    <w:rsid w:val="00F21211"/>
    <w:rsid w:val="00F218E6"/>
    <w:rsid w:val="00F233F8"/>
    <w:rsid w:val="00F2371B"/>
    <w:rsid w:val="00F23FA4"/>
    <w:rsid w:val="00F23FBC"/>
    <w:rsid w:val="00F24376"/>
    <w:rsid w:val="00F266FB"/>
    <w:rsid w:val="00F277D0"/>
    <w:rsid w:val="00F30634"/>
    <w:rsid w:val="00F32700"/>
    <w:rsid w:val="00F335A7"/>
    <w:rsid w:val="00F3487C"/>
    <w:rsid w:val="00F34995"/>
    <w:rsid w:val="00F34F66"/>
    <w:rsid w:val="00F36203"/>
    <w:rsid w:val="00F36793"/>
    <w:rsid w:val="00F36DDF"/>
    <w:rsid w:val="00F37F6B"/>
    <w:rsid w:val="00F403AC"/>
    <w:rsid w:val="00F405FB"/>
    <w:rsid w:val="00F434C9"/>
    <w:rsid w:val="00F45237"/>
    <w:rsid w:val="00F454C5"/>
    <w:rsid w:val="00F45E2D"/>
    <w:rsid w:val="00F46AAD"/>
    <w:rsid w:val="00F46E92"/>
    <w:rsid w:val="00F46EFF"/>
    <w:rsid w:val="00F47109"/>
    <w:rsid w:val="00F47F1B"/>
    <w:rsid w:val="00F50DF6"/>
    <w:rsid w:val="00F535AD"/>
    <w:rsid w:val="00F54A58"/>
    <w:rsid w:val="00F56206"/>
    <w:rsid w:val="00F56BCA"/>
    <w:rsid w:val="00F57359"/>
    <w:rsid w:val="00F57FD9"/>
    <w:rsid w:val="00F60216"/>
    <w:rsid w:val="00F60471"/>
    <w:rsid w:val="00F60AF8"/>
    <w:rsid w:val="00F60C8D"/>
    <w:rsid w:val="00F61182"/>
    <w:rsid w:val="00F61487"/>
    <w:rsid w:val="00F61A87"/>
    <w:rsid w:val="00F61BFC"/>
    <w:rsid w:val="00F61C53"/>
    <w:rsid w:val="00F62287"/>
    <w:rsid w:val="00F63262"/>
    <w:rsid w:val="00F64218"/>
    <w:rsid w:val="00F647CB"/>
    <w:rsid w:val="00F65434"/>
    <w:rsid w:val="00F656D9"/>
    <w:rsid w:val="00F664E0"/>
    <w:rsid w:val="00F66E35"/>
    <w:rsid w:val="00F673AC"/>
    <w:rsid w:val="00F67A4C"/>
    <w:rsid w:val="00F714B4"/>
    <w:rsid w:val="00F716F3"/>
    <w:rsid w:val="00F72151"/>
    <w:rsid w:val="00F72E84"/>
    <w:rsid w:val="00F7300E"/>
    <w:rsid w:val="00F735E6"/>
    <w:rsid w:val="00F73CC9"/>
    <w:rsid w:val="00F73DDE"/>
    <w:rsid w:val="00F73FA4"/>
    <w:rsid w:val="00F746A8"/>
    <w:rsid w:val="00F7494C"/>
    <w:rsid w:val="00F759DE"/>
    <w:rsid w:val="00F7617C"/>
    <w:rsid w:val="00F768BA"/>
    <w:rsid w:val="00F7759F"/>
    <w:rsid w:val="00F81246"/>
    <w:rsid w:val="00F81619"/>
    <w:rsid w:val="00F81AEF"/>
    <w:rsid w:val="00F83868"/>
    <w:rsid w:val="00F83B12"/>
    <w:rsid w:val="00F83E76"/>
    <w:rsid w:val="00F841AA"/>
    <w:rsid w:val="00F867E0"/>
    <w:rsid w:val="00F870CC"/>
    <w:rsid w:val="00F87753"/>
    <w:rsid w:val="00F87885"/>
    <w:rsid w:val="00F90320"/>
    <w:rsid w:val="00F9089B"/>
    <w:rsid w:val="00F91099"/>
    <w:rsid w:val="00F91441"/>
    <w:rsid w:val="00F91963"/>
    <w:rsid w:val="00F91F55"/>
    <w:rsid w:val="00F92487"/>
    <w:rsid w:val="00F92A2C"/>
    <w:rsid w:val="00F93A86"/>
    <w:rsid w:val="00F940CD"/>
    <w:rsid w:val="00F94939"/>
    <w:rsid w:val="00F95955"/>
    <w:rsid w:val="00F9651A"/>
    <w:rsid w:val="00F96BE7"/>
    <w:rsid w:val="00F97271"/>
    <w:rsid w:val="00F97A79"/>
    <w:rsid w:val="00FA01B2"/>
    <w:rsid w:val="00FA0650"/>
    <w:rsid w:val="00FA0E1D"/>
    <w:rsid w:val="00FA48EF"/>
    <w:rsid w:val="00FA5532"/>
    <w:rsid w:val="00FA5A35"/>
    <w:rsid w:val="00FA6AE1"/>
    <w:rsid w:val="00FA76B3"/>
    <w:rsid w:val="00FB06DD"/>
    <w:rsid w:val="00FB0E1F"/>
    <w:rsid w:val="00FB1325"/>
    <w:rsid w:val="00FB14CC"/>
    <w:rsid w:val="00FB1D1E"/>
    <w:rsid w:val="00FB31EE"/>
    <w:rsid w:val="00FB48BF"/>
    <w:rsid w:val="00FB4A44"/>
    <w:rsid w:val="00FB5762"/>
    <w:rsid w:val="00FB5CA7"/>
    <w:rsid w:val="00FB5FA5"/>
    <w:rsid w:val="00FC0BB5"/>
    <w:rsid w:val="00FC206D"/>
    <w:rsid w:val="00FC39C7"/>
    <w:rsid w:val="00FC43AE"/>
    <w:rsid w:val="00FC51CF"/>
    <w:rsid w:val="00FC5EA8"/>
    <w:rsid w:val="00FD1751"/>
    <w:rsid w:val="00FD183E"/>
    <w:rsid w:val="00FD1DAA"/>
    <w:rsid w:val="00FD4626"/>
    <w:rsid w:val="00FD4CA4"/>
    <w:rsid w:val="00FD54C9"/>
    <w:rsid w:val="00FD5715"/>
    <w:rsid w:val="00FD5747"/>
    <w:rsid w:val="00FD5E91"/>
    <w:rsid w:val="00FD5FCA"/>
    <w:rsid w:val="00FD63E2"/>
    <w:rsid w:val="00FD652D"/>
    <w:rsid w:val="00FD7027"/>
    <w:rsid w:val="00FD781E"/>
    <w:rsid w:val="00FD79C8"/>
    <w:rsid w:val="00FD7A02"/>
    <w:rsid w:val="00FE01A7"/>
    <w:rsid w:val="00FE0469"/>
    <w:rsid w:val="00FE0B51"/>
    <w:rsid w:val="00FE1780"/>
    <w:rsid w:val="00FE24A5"/>
    <w:rsid w:val="00FE2CEF"/>
    <w:rsid w:val="00FE4896"/>
    <w:rsid w:val="00FE51C0"/>
    <w:rsid w:val="00FE5AB1"/>
    <w:rsid w:val="00FE7769"/>
    <w:rsid w:val="00FE7B64"/>
    <w:rsid w:val="00FE7BD2"/>
    <w:rsid w:val="00FE7D90"/>
    <w:rsid w:val="00FF1EC6"/>
    <w:rsid w:val="00FF2C8D"/>
    <w:rsid w:val="00FF32A9"/>
    <w:rsid w:val="00FF43C6"/>
    <w:rsid w:val="00FF49F0"/>
    <w:rsid w:val="00FF56BA"/>
    <w:rsid w:val="00FF7774"/>
    <w:rsid w:val="00FF7A7E"/>
    <w:rsid w:val="01282E62"/>
    <w:rsid w:val="012C2953"/>
    <w:rsid w:val="012D7D10"/>
    <w:rsid w:val="012F7F36"/>
    <w:rsid w:val="013730A5"/>
    <w:rsid w:val="013B2B96"/>
    <w:rsid w:val="015276EE"/>
    <w:rsid w:val="01657C13"/>
    <w:rsid w:val="016A5229"/>
    <w:rsid w:val="016C4F8A"/>
    <w:rsid w:val="016F6310"/>
    <w:rsid w:val="017458DD"/>
    <w:rsid w:val="017936BE"/>
    <w:rsid w:val="017B34E6"/>
    <w:rsid w:val="01815CA7"/>
    <w:rsid w:val="018E0940"/>
    <w:rsid w:val="018F4B23"/>
    <w:rsid w:val="0194674A"/>
    <w:rsid w:val="019D2E51"/>
    <w:rsid w:val="01A7022B"/>
    <w:rsid w:val="01AA0146"/>
    <w:rsid w:val="01AB6BE3"/>
    <w:rsid w:val="01C34939"/>
    <w:rsid w:val="01CC42A7"/>
    <w:rsid w:val="01CC7C92"/>
    <w:rsid w:val="01CE3A0A"/>
    <w:rsid w:val="01D803E5"/>
    <w:rsid w:val="01DE1773"/>
    <w:rsid w:val="01DF34DE"/>
    <w:rsid w:val="01E943A0"/>
    <w:rsid w:val="01F64D0F"/>
    <w:rsid w:val="02051CBB"/>
    <w:rsid w:val="02104DC9"/>
    <w:rsid w:val="02136AD6"/>
    <w:rsid w:val="021653B1"/>
    <w:rsid w:val="021E7DFF"/>
    <w:rsid w:val="0224187C"/>
    <w:rsid w:val="022655F4"/>
    <w:rsid w:val="022950E4"/>
    <w:rsid w:val="022C0730"/>
    <w:rsid w:val="02317AF5"/>
    <w:rsid w:val="02331ABF"/>
    <w:rsid w:val="02377801"/>
    <w:rsid w:val="023B5E05"/>
    <w:rsid w:val="024376A0"/>
    <w:rsid w:val="02477318"/>
    <w:rsid w:val="025232EC"/>
    <w:rsid w:val="02523914"/>
    <w:rsid w:val="025B1AC3"/>
    <w:rsid w:val="025B2DC4"/>
    <w:rsid w:val="02642D03"/>
    <w:rsid w:val="026659F0"/>
    <w:rsid w:val="02770F36"/>
    <w:rsid w:val="027C3466"/>
    <w:rsid w:val="027F25B6"/>
    <w:rsid w:val="028E13EB"/>
    <w:rsid w:val="0291319A"/>
    <w:rsid w:val="02920B9A"/>
    <w:rsid w:val="029A1EC3"/>
    <w:rsid w:val="029D7486"/>
    <w:rsid w:val="02A91D81"/>
    <w:rsid w:val="02AE7397"/>
    <w:rsid w:val="02B77CCF"/>
    <w:rsid w:val="02BA3F8E"/>
    <w:rsid w:val="02BA4939"/>
    <w:rsid w:val="02C32E43"/>
    <w:rsid w:val="02CA1EB5"/>
    <w:rsid w:val="02CB7F49"/>
    <w:rsid w:val="02CC0F83"/>
    <w:rsid w:val="02D432A2"/>
    <w:rsid w:val="02D83AC4"/>
    <w:rsid w:val="02DE0532"/>
    <w:rsid w:val="02DF57A3"/>
    <w:rsid w:val="02EC1CAF"/>
    <w:rsid w:val="02F4124E"/>
    <w:rsid w:val="03127926"/>
    <w:rsid w:val="03243895"/>
    <w:rsid w:val="032B6C3A"/>
    <w:rsid w:val="032D4760"/>
    <w:rsid w:val="032F2286"/>
    <w:rsid w:val="032F46AE"/>
    <w:rsid w:val="03321D76"/>
    <w:rsid w:val="03343D40"/>
    <w:rsid w:val="0334789D"/>
    <w:rsid w:val="034E5635"/>
    <w:rsid w:val="03577173"/>
    <w:rsid w:val="03602490"/>
    <w:rsid w:val="0368794D"/>
    <w:rsid w:val="03710AF1"/>
    <w:rsid w:val="0379160A"/>
    <w:rsid w:val="0385459C"/>
    <w:rsid w:val="03A03184"/>
    <w:rsid w:val="03A72554"/>
    <w:rsid w:val="03B1734F"/>
    <w:rsid w:val="03B65EAD"/>
    <w:rsid w:val="03B968E0"/>
    <w:rsid w:val="03BB7FBE"/>
    <w:rsid w:val="03BE1329"/>
    <w:rsid w:val="03C07382"/>
    <w:rsid w:val="03CC3F79"/>
    <w:rsid w:val="03D73579"/>
    <w:rsid w:val="03DD6186"/>
    <w:rsid w:val="03F03ACD"/>
    <w:rsid w:val="03F84D6E"/>
    <w:rsid w:val="04074FB1"/>
    <w:rsid w:val="04082AD7"/>
    <w:rsid w:val="040A154E"/>
    <w:rsid w:val="040D7377"/>
    <w:rsid w:val="040F6DEE"/>
    <w:rsid w:val="0412273B"/>
    <w:rsid w:val="04144AD2"/>
    <w:rsid w:val="04286AF5"/>
    <w:rsid w:val="042E69E2"/>
    <w:rsid w:val="04313E4B"/>
    <w:rsid w:val="04351B68"/>
    <w:rsid w:val="04390EE3"/>
    <w:rsid w:val="04406715"/>
    <w:rsid w:val="046B19E4"/>
    <w:rsid w:val="0482288A"/>
    <w:rsid w:val="048B443B"/>
    <w:rsid w:val="048D6DBC"/>
    <w:rsid w:val="04932CE9"/>
    <w:rsid w:val="049B394B"/>
    <w:rsid w:val="04A942BA"/>
    <w:rsid w:val="04C410F4"/>
    <w:rsid w:val="04C91A28"/>
    <w:rsid w:val="04CE1CB1"/>
    <w:rsid w:val="04CE1F73"/>
    <w:rsid w:val="04D4447A"/>
    <w:rsid w:val="04D806FC"/>
    <w:rsid w:val="04E23328"/>
    <w:rsid w:val="04F03C97"/>
    <w:rsid w:val="04F574FF"/>
    <w:rsid w:val="04F75026"/>
    <w:rsid w:val="04FA4B16"/>
    <w:rsid w:val="05094D59"/>
    <w:rsid w:val="050D2A9B"/>
    <w:rsid w:val="050E22BB"/>
    <w:rsid w:val="051E6A56"/>
    <w:rsid w:val="05322502"/>
    <w:rsid w:val="055C132D"/>
    <w:rsid w:val="05654B72"/>
    <w:rsid w:val="056F3221"/>
    <w:rsid w:val="057776AE"/>
    <w:rsid w:val="05796422"/>
    <w:rsid w:val="05844262"/>
    <w:rsid w:val="05856AD5"/>
    <w:rsid w:val="059E1945"/>
    <w:rsid w:val="05A31FC3"/>
    <w:rsid w:val="05B72A07"/>
    <w:rsid w:val="05BF2437"/>
    <w:rsid w:val="05C375FE"/>
    <w:rsid w:val="05CA098C"/>
    <w:rsid w:val="05E01F5E"/>
    <w:rsid w:val="05E05ABA"/>
    <w:rsid w:val="05E41A4E"/>
    <w:rsid w:val="05E664AB"/>
    <w:rsid w:val="05EB40BB"/>
    <w:rsid w:val="05F257ED"/>
    <w:rsid w:val="05F77C7C"/>
    <w:rsid w:val="05FE2F0B"/>
    <w:rsid w:val="06071298"/>
    <w:rsid w:val="06304C93"/>
    <w:rsid w:val="063511BA"/>
    <w:rsid w:val="063634F0"/>
    <w:rsid w:val="06371796"/>
    <w:rsid w:val="06563FCE"/>
    <w:rsid w:val="06641E8F"/>
    <w:rsid w:val="066C559F"/>
    <w:rsid w:val="06806CD7"/>
    <w:rsid w:val="06862B05"/>
    <w:rsid w:val="068A3C77"/>
    <w:rsid w:val="069638EE"/>
    <w:rsid w:val="06A55191"/>
    <w:rsid w:val="06A76315"/>
    <w:rsid w:val="06AE66F8"/>
    <w:rsid w:val="06AE7966"/>
    <w:rsid w:val="06BD404D"/>
    <w:rsid w:val="06C21663"/>
    <w:rsid w:val="06CB49BC"/>
    <w:rsid w:val="06CD24E2"/>
    <w:rsid w:val="06D870D9"/>
    <w:rsid w:val="06DA4BFF"/>
    <w:rsid w:val="06DC2725"/>
    <w:rsid w:val="06DF1025"/>
    <w:rsid w:val="06DF3FC3"/>
    <w:rsid w:val="06E415DA"/>
    <w:rsid w:val="06E927E2"/>
    <w:rsid w:val="06FA0DFD"/>
    <w:rsid w:val="07035538"/>
    <w:rsid w:val="07153E89"/>
    <w:rsid w:val="071E0F8F"/>
    <w:rsid w:val="071F0864"/>
    <w:rsid w:val="07222102"/>
    <w:rsid w:val="07251AD2"/>
    <w:rsid w:val="073D0CEA"/>
    <w:rsid w:val="074327A4"/>
    <w:rsid w:val="074958E1"/>
    <w:rsid w:val="074F3901"/>
    <w:rsid w:val="074F739B"/>
    <w:rsid w:val="0753050F"/>
    <w:rsid w:val="075628E4"/>
    <w:rsid w:val="075E19C5"/>
    <w:rsid w:val="076C0391"/>
    <w:rsid w:val="077741FC"/>
    <w:rsid w:val="07797F74"/>
    <w:rsid w:val="07834C41"/>
    <w:rsid w:val="0784228F"/>
    <w:rsid w:val="07954D8F"/>
    <w:rsid w:val="079C0106"/>
    <w:rsid w:val="07AA45D1"/>
    <w:rsid w:val="07BC1E74"/>
    <w:rsid w:val="07D4164E"/>
    <w:rsid w:val="07D7113E"/>
    <w:rsid w:val="07DD5554"/>
    <w:rsid w:val="07E01DA1"/>
    <w:rsid w:val="07E3078C"/>
    <w:rsid w:val="07EB2099"/>
    <w:rsid w:val="07F25F78"/>
    <w:rsid w:val="080261BB"/>
    <w:rsid w:val="080E5FD9"/>
    <w:rsid w:val="0823513D"/>
    <w:rsid w:val="082779D0"/>
    <w:rsid w:val="08306341"/>
    <w:rsid w:val="0831084F"/>
    <w:rsid w:val="08387E2F"/>
    <w:rsid w:val="08390944"/>
    <w:rsid w:val="083B00B0"/>
    <w:rsid w:val="083D5445"/>
    <w:rsid w:val="08484C9B"/>
    <w:rsid w:val="084B01E3"/>
    <w:rsid w:val="085534F5"/>
    <w:rsid w:val="0858402D"/>
    <w:rsid w:val="085D7896"/>
    <w:rsid w:val="086504F8"/>
    <w:rsid w:val="086C5D6E"/>
    <w:rsid w:val="087C3598"/>
    <w:rsid w:val="088077A2"/>
    <w:rsid w:val="088272FC"/>
    <w:rsid w:val="088A4403"/>
    <w:rsid w:val="08983511"/>
    <w:rsid w:val="089A4646"/>
    <w:rsid w:val="08A47272"/>
    <w:rsid w:val="08A47372"/>
    <w:rsid w:val="08A92ADB"/>
    <w:rsid w:val="08A94BFC"/>
    <w:rsid w:val="08B33959"/>
    <w:rsid w:val="08BB4EFD"/>
    <w:rsid w:val="08C94F2B"/>
    <w:rsid w:val="08C97978"/>
    <w:rsid w:val="08DF52C9"/>
    <w:rsid w:val="08F301FA"/>
    <w:rsid w:val="09023F99"/>
    <w:rsid w:val="09075A53"/>
    <w:rsid w:val="090D12BC"/>
    <w:rsid w:val="09180178"/>
    <w:rsid w:val="091A5787"/>
    <w:rsid w:val="091C32AD"/>
    <w:rsid w:val="091D75BB"/>
    <w:rsid w:val="093D3223"/>
    <w:rsid w:val="09414AC1"/>
    <w:rsid w:val="095C7B4D"/>
    <w:rsid w:val="09630EDC"/>
    <w:rsid w:val="09707B14"/>
    <w:rsid w:val="09750C0F"/>
    <w:rsid w:val="098B0432"/>
    <w:rsid w:val="09946A31"/>
    <w:rsid w:val="09975029"/>
    <w:rsid w:val="09A45050"/>
    <w:rsid w:val="09A8336D"/>
    <w:rsid w:val="09AB2883"/>
    <w:rsid w:val="09B07E99"/>
    <w:rsid w:val="09B7601C"/>
    <w:rsid w:val="09BA3FD5"/>
    <w:rsid w:val="09BB0D18"/>
    <w:rsid w:val="09BC13BE"/>
    <w:rsid w:val="09BC683E"/>
    <w:rsid w:val="09C518CF"/>
    <w:rsid w:val="09CB296E"/>
    <w:rsid w:val="09D43B87"/>
    <w:rsid w:val="09D5345C"/>
    <w:rsid w:val="09D675ED"/>
    <w:rsid w:val="09D678FF"/>
    <w:rsid w:val="09D771D4"/>
    <w:rsid w:val="09D9119E"/>
    <w:rsid w:val="09D96E34"/>
    <w:rsid w:val="09DC3682"/>
    <w:rsid w:val="09DE0891"/>
    <w:rsid w:val="09E3201C"/>
    <w:rsid w:val="09E91DBB"/>
    <w:rsid w:val="09E96B55"/>
    <w:rsid w:val="09EB4B6A"/>
    <w:rsid w:val="09EB754E"/>
    <w:rsid w:val="09EC52C7"/>
    <w:rsid w:val="09EF6C13"/>
    <w:rsid w:val="09FC30DE"/>
    <w:rsid w:val="0A067AB9"/>
    <w:rsid w:val="0A0F0A13"/>
    <w:rsid w:val="0A1246B0"/>
    <w:rsid w:val="0A1354D3"/>
    <w:rsid w:val="0A195207"/>
    <w:rsid w:val="0A3863C9"/>
    <w:rsid w:val="0A391C3C"/>
    <w:rsid w:val="0A3E7F78"/>
    <w:rsid w:val="0A3F3469"/>
    <w:rsid w:val="0A40746F"/>
    <w:rsid w:val="0A454554"/>
    <w:rsid w:val="0A48596D"/>
    <w:rsid w:val="0A4F320E"/>
    <w:rsid w:val="0A516F86"/>
    <w:rsid w:val="0A544CC8"/>
    <w:rsid w:val="0A5823CF"/>
    <w:rsid w:val="0A5A37A8"/>
    <w:rsid w:val="0A5B7E05"/>
    <w:rsid w:val="0A5D3B7D"/>
    <w:rsid w:val="0A650C83"/>
    <w:rsid w:val="0A6F565E"/>
    <w:rsid w:val="0A7333A0"/>
    <w:rsid w:val="0A786C09"/>
    <w:rsid w:val="0A7D7D7B"/>
    <w:rsid w:val="0A805ABD"/>
    <w:rsid w:val="0A9D041D"/>
    <w:rsid w:val="0AAA37AF"/>
    <w:rsid w:val="0ABC344C"/>
    <w:rsid w:val="0AC00DC5"/>
    <w:rsid w:val="0AC21C32"/>
    <w:rsid w:val="0AD41965"/>
    <w:rsid w:val="0AD83203"/>
    <w:rsid w:val="0ADD6A6C"/>
    <w:rsid w:val="0AE02E63"/>
    <w:rsid w:val="0AE222D4"/>
    <w:rsid w:val="0AF142C5"/>
    <w:rsid w:val="0AF3120E"/>
    <w:rsid w:val="0AF50259"/>
    <w:rsid w:val="0AF70459"/>
    <w:rsid w:val="0AFA70FB"/>
    <w:rsid w:val="0AFB5144"/>
    <w:rsid w:val="0AFC61E3"/>
    <w:rsid w:val="0B04049C"/>
    <w:rsid w:val="0B064214"/>
    <w:rsid w:val="0B0C10FF"/>
    <w:rsid w:val="0B1032E7"/>
    <w:rsid w:val="0B1306DF"/>
    <w:rsid w:val="0B1A7353"/>
    <w:rsid w:val="0B1A7CC0"/>
    <w:rsid w:val="0B1D50BA"/>
    <w:rsid w:val="0B2823DD"/>
    <w:rsid w:val="0B291CB1"/>
    <w:rsid w:val="0B2E376B"/>
    <w:rsid w:val="0B303499"/>
    <w:rsid w:val="0B3F14D4"/>
    <w:rsid w:val="0B3F3282"/>
    <w:rsid w:val="0B40624E"/>
    <w:rsid w:val="0B41349E"/>
    <w:rsid w:val="0B4B1B81"/>
    <w:rsid w:val="0B542FB0"/>
    <w:rsid w:val="0B671CEB"/>
    <w:rsid w:val="0B6947A3"/>
    <w:rsid w:val="0B6E1EE8"/>
    <w:rsid w:val="0B7C0033"/>
    <w:rsid w:val="0B845AA7"/>
    <w:rsid w:val="0B9063A0"/>
    <w:rsid w:val="0B995089"/>
    <w:rsid w:val="0B9C5F44"/>
    <w:rsid w:val="0B9F50FC"/>
    <w:rsid w:val="0BAB4DBC"/>
    <w:rsid w:val="0BC35C62"/>
    <w:rsid w:val="0BCD088E"/>
    <w:rsid w:val="0BD13855"/>
    <w:rsid w:val="0BDC4F75"/>
    <w:rsid w:val="0BE132E6"/>
    <w:rsid w:val="0BE91440"/>
    <w:rsid w:val="0BEF2EFA"/>
    <w:rsid w:val="0BF26547"/>
    <w:rsid w:val="0BFE0888"/>
    <w:rsid w:val="0BFE4EEC"/>
    <w:rsid w:val="0C087B18"/>
    <w:rsid w:val="0C1069CD"/>
    <w:rsid w:val="0C1636F6"/>
    <w:rsid w:val="0C2A5CE1"/>
    <w:rsid w:val="0C345E85"/>
    <w:rsid w:val="0C4A0131"/>
    <w:rsid w:val="0C4F1BEB"/>
    <w:rsid w:val="0C5965C6"/>
    <w:rsid w:val="0C727A87"/>
    <w:rsid w:val="0C776A4C"/>
    <w:rsid w:val="0C7A3AB8"/>
    <w:rsid w:val="0C7D396A"/>
    <w:rsid w:val="0C803B53"/>
    <w:rsid w:val="0C90757C"/>
    <w:rsid w:val="0C917B0E"/>
    <w:rsid w:val="0CA305A5"/>
    <w:rsid w:val="0CB16402"/>
    <w:rsid w:val="0CB832EC"/>
    <w:rsid w:val="0CBB4B8B"/>
    <w:rsid w:val="0CBD6B55"/>
    <w:rsid w:val="0CC67F5A"/>
    <w:rsid w:val="0CD15F74"/>
    <w:rsid w:val="0CD30126"/>
    <w:rsid w:val="0CD6014C"/>
    <w:rsid w:val="0CEE4F60"/>
    <w:rsid w:val="0CF26B87"/>
    <w:rsid w:val="0CF63DAA"/>
    <w:rsid w:val="0D0227BA"/>
    <w:rsid w:val="0D0B5815"/>
    <w:rsid w:val="0D0B5B12"/>
    <w:rsid w:val="0D0C188A"/>
    <w:rsid w:val="0D20037A"/>
    <w:rsid w:val="0D3170FD"/>
    <w:rsid w:val="0D350DE1"/>
    <w:rsid w:val="0D374B59"/>
    <w:rsid w:val="0D3A1F53"/>
    <w:rsid w:val="0D3B5CCB"/>
    <w:rsid w:val="0D447276"/>
    <w:rsid w:val="0D4B23B2"/>
    <w:rsid w:val="0D4B43E9"/>
    <w:rsid w:val="0D4E59FF"/>
    <w:rsid w:val="0D605732"/>
    <w:rsid w:val="0D671F80"/>
    <w:rsid w:val="0D676AC1"/>
    <w:rsid w:val="0D690A8B"/>
    <w:rsid w:val="0D782A7C"/>
    <w:rsid w:val="0D802C67"/>
    <w:rsid w:val="0D8633EB"/>
    <w:rsid w:val="0D885842"/>
    <w:rsid w:val="0D8900E5"/>
    <w:rsid w:val="0DA25D4B"/>
    <w:rsid w:val="0DA73361"/>
    <w:rsid w:val="0DAF107F"/>
    <w:rsid w:val="0DC706AE"/>
    <w:rsid w:val="0DE46CE5"/>
    <w:rsid w:val="0DE71A5B"/>
    <w:rsid w:val="0DEE51E4"/>
    <w:rsid w:val="0DFC36AD"/>
    <w:rsid w:val="0E036825"/>
    <w:rsid w:val="0E082052"/>
    <w:rsid w:val="0E083E00"/>
    <w:rsid w:val="0E0A5DCA"/>
    <w:rsid w:val="0E0D1416"/>
    <w:rsid w:val="0E1C5AFD"/>
    <w:rsid w:val="0E3C1CFB"/>
    <w:rsid w:val="0E3E4C8C"/>
    <w:rsid w:val="0E455054"/>
    <w:rsid w:val="0E511C4A"/>
    <w:rsid w:val="0E572FD9"/>
    <w:rsid w:val="0E57664F"/>
    <w:rsid w:val="0E59465B"/>
    <w:rsid w:val="0E5E1C72"/>
    <w:rsid w:val="0E664FCA"/>
    <w:rsid w:val="0E682AF0"/>
    <w:rsid w:val="0E6C3B57"/>
    <w:rsid w:val="0E7B2A74"/>
    <w:rsid w:val="0E8060A7"/>
    <w:rsid w:val="0E8C2C83"/>
    <w:rsid w:val="0E95212F"/>
    <w:rsid w:val="0E9733D5"/>
    <w:rsid w:val="0EC35F79"/>
    <w:rsid w:val="0EC641E2"/>
    <w:rsid w:val="0ED061FA"/>
    <w:rsid w:val="0ED65CAC"/>
    <w:rsid w:val="0EF645A0"/>
    <w:rsid w:val="0EFE379D"/>
    <w:rsid w:val="0F050A01"/>
    <w:rsid w:val="0F056591"/>
    <w:rsid w:val="0F0A1DF9"/>
    <w:rsid w:val="0F0A3BA7"/>
    <w:rsid w:val="0F0C2A4A"/>
    <w:rsid w:val="0F112C81"/>
    <w:rsid w:val="0F1A64E0"/>
    <w:rsid w:val="0F1D0018"/>
    <w:rsid w:val="0F2760D3"/>
    <w:rsid w:val="0F2C6214"/>
    <w:rsid w:val="0F2E3D3A"/>
    <w:rsid w:val="0F3A26DF"/>
    <w:rsid w:val="0F3A448D"/>
    <w:rsid w:val="0F3F7CF5"/>
    <w:rsid w:val="0F4672D5"/>
    <w:rsid w:val="0F4E7A34"/>
    <w:rsid w:val="0F592E73"/>
    <w:rsid w:val="0F5A68DD"/>
    <w:rsid w:val="0F5B6442"/>
    <w:rsid w:val="0F601A19"/>
    <w:rsid w:val="0F6459AD"/>
    <w:rsid w:val="0F655282"/>
    <w:rsid w:val="0F724395"/>
    <w:rsid w:val="0F7D25CB"/>
    <w:rsid w:val="0F8235A8"/>
    <w:rsid w:val="0F865924"/>
    <w:rsid w:val="0F9919AD"/>
    <w:rsid w:val="0F9D0EBF"/>
    <w:rsid w:val="0FA54D81"/>
    <w:rsid w:val="0FAB63B4"/>
    <w:rsid w:val="0FB71F81"/>
    <w:rsid w:val="0FC10C17"/>
    <w:rsid w:val="0FC30926"/>
    <w:rsid w:val="0FCA6972"/>
    <w:rsid w:val="0FCC70AF"/>
    <w:rsid w:val="0FD0094D"/>
    <w:rsid w:val="0FD33F2A"/>
    <w:rsid w:val="0FD541B5"/>
    <w:rsid w:val="0FD8361C"/>
    <w:rsid w:val="0FF639B5"/>
    <w:rsid w:val="0FF72454"/>
    <w:rsid w:val="1005251F"/>
    <w:rsid w:val="100827DD"/>
    <w:rsid w:val="100A5F72"/>
    <w:rsid w:val="1010343F"/>
    <w:rsid w:val="10194D85"/>
    <w:rsid w:val="1021389E"/>
    <w:rsid w:val="102139A6"/>
    <w:rsid w:val="10216E38"/>
    <w:rsid w:val="102F3C63"/>
    <w:rsid w:val="10321608"/>
    <w:rsid w:val="103C2486"/>
    <w:rsid w:val="103F3D25"/>
    <w:rsid w:val="10484987"/>
    <w:rsid w:val="104F3F68"/>
    <w:rsid w:val="10511EE9"/>
    <w:rsid w:val="1054157E"/>
    <w:rsid w:val="106043C7"/>
    <w:rsid w:val="106612B1"/>
    <w:rsid w:val="10680A68"/>
    <w:rsid w:val="106B3FBF"/>
    <w:rsid w:val="10767953"/>
    <w:rsid w:val="10790BBF"/>
    <w:rsid w:val="107A497C"/>
    <w:rsid w:val="107B5FF2"/>
    <w:rsid w:val="107D7324"/>
    <w:rsid w:val="108C4D4A"/>
    <w:rsid w:val="109D1177"/>
    <w:rsid w:val="109E4EEF"/>
    <w:rsid w:val="10AE5478"/>
    <w:rsid w:val="10AF4A06"/>
    <w:rsid w:val="10C761F4"/>
    <w:rsid w:val="10CB7636"/>
    <w:rsid w:val="10CC68F7"/>
    <w:rsid w:val="10D510E7"/>
    <w:rsid w:val="10D775F6"/>
    <w:rsid w:val="10E000F9"/>
    <w:rsid w:val="10F36FE9"/>
    <w:rsid w:val="10F468BD"/>
    <w:rsid w:val="10F52C7D"/>
    <w:rsid w:val="10F8474E"/>
    <w:rsid w:val="11050ACA"/>
    <w:rsid w:val="110B729A"/>
    <w:rsid w:val="11140D0D"/>
    <w:rsid w:val="11141552"/>
    <w:rsid w:val="11182DAA"/>
    <w:rsid w:val="111B0CB6"/>
    <w:rsid w:val="111D7BC2"/>
    <w:rsid w:val="1125116C"/>
    <w:rsid w:val="11290A8C"/>
    <w:rsid w:val="113B0990"/>
    <w:rsid w:val="114C494B"/>
    <w:rsid w:val="11510111"/>
    <w:rsid w:val="11571AB0"/>
    <w:rsid w:val="115A0E16"/>
    <w:rsid w:val="115D4462"/>
    <w:rsid w:val="115E7D45"/>
    <w:rsid w:val="11692D65"/>
    <w:rsid w:val="11722C3F"/>
    <w:rsid w:val="11800151"/>
    <w:rsid w:val="11826726"/>
    <w:rsid w:val="118C58C1"/>
    <w:rsid w:val="11951E4E"/>
    <w:rsid w:val="119B76A9"/>
    <w:rsid w:val="119E6DF5"/>
    <w:rsid w:val="11A26319"/>
    <w:rsid w:val="11A307BC"/>
    <w:rsid w:val="11A55E09"/>
    <w:rsid w:val="11A71B81"/>
    <w:rsid w:val="11B76268"/>
    <w:rsid w:val="11BF210D"/>
    <w:rsid w:val="11C95F9C"/>
    <w:rsid w:val="11CA2ABF"/>
    <w:rsid w:val="11E0395F"/>
    <w:rsid w:val="11E5636A"/>
    <w:rsid w:val="11E93843"/>
    <w:rsid w:val="11E93EE6"/>
    <w:rsid w:val="11EE77B0"/>
    <w:rsid w:val="11F56775"/>
    <w:rsid w:val="11F823DD"/>
    <w:rsid w:val="120274A2"/>
    <w:rsid w:val="120B2110"/>
    <w:rsid w:val="12135191"/>
    <w:rsid w:val="12176D07"/>
    <w:rsid w:val="121D1E44"/>
    <w:rsid w:val="12241424"/>
    <w:rsid w:val="122B630F"/>
    <w:rsid w:val="1233302F"/>
    <w:rsid w:val="12480EBC"/>
    <w:rsid w:val="124D0F6D"/>
    <w:rsid w:val="124F64A1"/>
    <w:rsid w:val="12533255"/>
    <w:rsid w:val="125515DD"/>
    <w:rsid w:val="125A151B"/>
    <w:rsid w:val="12614426"/>
    <w:rsid w:val="126410EF"/>
    <w:rsid w:val="127001C5"/>
    <w:rsid w:val="127203E1"/>
    <w:rsid w:val="12727EA3"/>
    <w:rsid w:val="12753A2E"/>
    <w:rsid w:val="128033B5"/>
    <w:rsid w:val="12817330"/>
    <w:rsid w:val="128D521B"/>
    <w:rsid w:val="12B300FC"/>
    <w:rsid w:val="12B31637"/>
    <w:rsid w:val="12B97DBE"/>
    <w:rsid w:val="12BA1C76"/>
    <w:rsid w:val="12BA6202"/>
    <w:rsid w:val="12BB404F"/>
    <w:rsid w:val="12CA5B28"/>
    <w:rsid w:val="12CB5FB8"/>
    <w:rsid w:val="12D1335A"/>
    <w:rsid w:val="12DE62B9"/>
    <w:rsid w:val="12E35276"/>
    <w:rsid w:val="12E454DE"/>
    <w:rsid w:val="12EA5817"/>
    <w:rsid w:val="12F2507E"/>
    <w:rsid w:val="12F31522"/>
    <w:rsid w:val="12F62DC8"/>
    <w:rsid w:val="130C0318"/>
    <w:rsid w:val="130D7A78"/>
    <w:rsid w:val="131208EA"/>
    <w:rsid w:val="13137C73"/>
    <w:rsid w:val="131E5E73"/>
    <w:rsid w:val="1324792E"/>
    <w:rsid w:val="13367661"/>
    <w:rsid w:val="133E2072"/>
    <w:rsid w:val="13403C24"/>
    <w:rsid w:val="134478ED"/>
    <w:rsid w:val="134753CA"/>
    <w:rsid w:val="134F427F"/>
    <w:rsid w:val="135263FA"/>
    <w:rsid w:val="135B0E75"/>
    <w:rsid w:val="135D2E40"/>
    <w:rsid w:val="13623FB2"/>
    <w:rsid w:val="136A2E67"/>
    <w:rsid w:val="137612B1"/>
    <w:rsid w:val="137912FC"/>
    <w:rsid w:val="137B32C6"/>
    <w:rsid w:val="138A3E9E"/>
    <w:rsid w:val="138B304B"/>
    <w:rsid w:val="138C6DED"/>
    <w:rsid w:val="13946135"/>
    <w:rsid w:val="1397336A"/>
    <w:rsid w:val="13985790"/>
    <w:rsid w:val="139B74C4"/>
    <w:rsid w:val="139D38DB"/>
    <w:rsid w:val="13A50343"/>
    <w:rsid w:val="13AE369B"/>
    <w:rsid w:val="13BD568C"/>
    <w:rsid w:val="13C20EF5"/>
    <w:rsid w:val="13C24A51"/>
    <w:rsid w:val="13C4105E"/>
    <w:rsid w:val="13CE5AEB"/>
    <w:rsid w:val="13D1738A"/>
    <w:rsid w:val="13D80718"/>
    <w:rsid w:val="13D93BA8"/>
    <w:rsid w:val="13E1581F"/>
    <w:rsid w:val="13E24B70"/>
    <w:rsid w:val="13E42C19"/>
    <w:rsid w:val="13EE5846"/>
    <w:rsid w:val="13EF0CC1"/>
    <w:rsid w:val="13F563EC"/>
    <w:rsid w:val="14114C17"/>
    <w:rsid w:val="14244FEC"/>
    <w:rsid w:val="142A4DA8"/>
    <w:rsid w:val="144E391B"/>
    <w:rsid w:val="145139F1"/>
    <w:rsid w:val="1457163D"/>
    <w:rsid w:val="146849E3"/>
    <w:rsid w:val="1469117E"/>
    <w:rsid w:val="14711B9F"/>
    <w:rsid w:val="14720225"/>
    <w:rsid w:val="14795A57"/>
    <w:rsid w:val="147E12BF"/>
    <w:rsid w:val="147F2942"/>
    <w:rsid w:val="14817958"/>
    <w:rsid w:val="149F1A6D"/>
    <w:rsid w:val="14A03128"/>
    <w:rsid w:val="14A30D26"/>
    <w:rsid w:val="14AB3737"/>
    <w:rsid w:val="14BE346A"/>
    <w:rsid w:val="14C33176"/>
    <w:rsid w:val="14C36CD2"/>
    <w:rsid w:val="14C76FEA"/>
    <w:rsid w:val="14C91409"/>
    <w:rsid w:val="14CF5677"/>
    <w:rsid w:val="14D62EA9"/>
    <w:rsid w:val="14E05AD6"/>
    <w:rsid w:val="14EF5D19"/>
    <w:rsid w:val="14F71062"/>
    <w:rsid w:val="14F74BCE"/>
    <w:rsid w:val="14FB0157"/>
    <w:rsid w:val="15057309"/>
    <w:rsid w:val="15082C53"/>
    <w:rsid w:val="15091AF6"/>
    <w:rsid w:val="151376CD"/>
    <w:rsid w:val="151632A6"/>
    <w:rsid w:val="15175270"/>
    <w:rsid w:val="151B6B0E"/>
    <w:rsid w:val="151F0B85"/>
    <w:rsid w:val="15202377"/>
    <w:rsid w:val="153259C9"/>
    <w:rsid w:val="153B724F"/>
    <w:rsid w:val="154047C7"/>
    <w:rsid w:val="15455939"/>
    <w:rsid w:val="154A617D"/>
    <w:rsid w:val="15667FE8"/>
    <w:rsid w:val="156D5D5E"/>
    <w:rsid w:val="156E30E2"/>
    <w:rsid w:val="1577787B"/>
    <w:rsid w:val="158226E9"/>
    <w:rsid w:val="1588184A"/>
    <w:rsid w:val="159B19FD"/>
    <w:rsid w:val="159E5049"/>
    <w:rsid w:val="15A06322"/>
    <w:rsid w:val="15A308B2"/>
    <w:rsid w:val="15AC7A04"/>
    <w:rsid w:val="15AD597E"/>
    <w:rsid w:val="15B065E9"/>
    <w:rsid w:val="15B66837"/>
    <w:rsid w:val="15C40F54"/>
    <w:rsid w:val="15C54FEA"/>
    <w:rsid w:val="15E92769"/>
    <w:rsid w:val="15F1161D"/>
    <w:rsid w:val="15F15AC1"/>
    <w:rsid w:val="15FE5A51"/>
    <w:rsid w:val="161E6396"/>
    <w:rsid w:val="162419F3"/>
    <w:rsid w:val="162D1DF8"/>
    <w:rsid w:val="163559AE"/>
    <w:rsid w:val="163814F2"/>
    <w:rsid w:val="163D2AB4"/>
    <w:rsid w:val="1642631D"/>
    <w:rsid w:val="16465067"/>
    <w:rsid w:val="165027E8"/>
    <w:rsid w:val="1651030E"/>
    <w:rsid w:val="165A0C46"/>
    <w:rsid w:val="165F11A5"/>
    <w:rsid w:val="16620D37"/>
    <w:rsid w:val="167A5230"/>
    <w:rsid w:val="167A5AB7"/>
    <w:rsid w:val="16842491"/>
    <w:rsid w:val="168D7598"/>
    <w:rsid w:val="168F547E"/>
    <w:rsid w:val="1692185F"/>
    <w:rsid w:val="16A677CD"/>
    <w:rsid w:val="16A96F60"/>
    <w:rsid w:val="16C15493"/>
    <w:rsid w:val="16D57191"/>
    <w:rsid w:val="16E46649"/>
    <w:rsid w:val="16EB2510"/>
    <w:rsid w:val="16EF3DAF"/>
    <w:rsid w:val="16F21AF1"/>
    <w:rsid w:val="16FF7D6A"/>
    <w:rsid w:val="17011D34"/>
    <w:rsid w:val="17104AB6"/>
    <w:rsid w:val="171C22C3"/>
    <w:rsid w:val="172F064F"/>
    <w:rsid w:val="172F4C87"/>
    <w:rsid w:val="17325EFB"/>
    <w:rsid w:val="1734612F"/>
    <w:rsid w:val="17377504"/>
    <w:rsid w:val="173974B1"/>
    <w:rsid w:val="17435EA8"/>
    <w:rsid w:val="175005C5"/>
    <w:rsid w:val="175956CC"/>
    <w:rsid w:val="177C13BA"/>
    <w:rsid w:val="17837902"/>
    <w:rsid w:val="17852A93"/>
    <w:rsid w:val="1791130A"/>
    <w:rsid w:val="17A67C85"/>
    <w:rsid w:val="17B108BB"/>
    <w:rsid w:val="17BD3FF5"/>
    <w:rsid w:val="17D01AA8"/>
    <w:rsid w:val="17D15BAA"/>
    <w:rsid w:val="17E07B9B"/>
    <w:rsid w:val="17E551B2"/>
    <w:rsid w:val="17F02CDB"/>
    <w:rsid w:val="17F24636"/>
    <w:rsid w:val="17FE0021"/>
    <w:rsid w:val="18027033"/>
    <w:rsid w:val="1807337A"/>
    <w:rsid w:val="180A2E6A"/>
    <w:rsid w:val="1816180F"/>
    <w:rsid w:val="18253800"/>
    <w:rsid w:val="18256ADE"/>
    <w:rsid w:val="183B4E85"/>
    <w:rsid w:val="18421939"/>
    <w:rsid w:val="185F4F64"/>
    <w:rsid w:val="187B180C"/>
    <w:rsid w:val="187B6444"/>
    <w:rsid w:val="1881312C"/>
    <w:rsid w:val="18826EA4"/>
    <w:rsid w:val="18926AFD"/>
    <w:rsid w:val="189746FE"/>
    <w:rsid w:val="189D783A"/>
    <w:rsid w:val="18A40BC9"/>
    <w:rsid w:val="18A549B7"/>
    <w:rsid w:val="18AB63FB"/>
    <w:rsid w:val="18B3641F"/>
    <w:rsid w:val="18BA4890"/>
    <w:rsid w:val="18C87A43"/>
    <w:rsid w:val="18C9062F"/>
    <w:rsid w:val="18DD40DB"/>
    <w:rsid w:val="18E216F1"/>
    <w:rsid w:val="18E91161"/>
    <w:rsid w:val="18EC0B49"/>
    <w:rsid w:val="18F163A3"/>
    <w:rsid w:val="18F51424"/>
    <w:rsid w:val="18F913E2"/>
    <w:rsid w:val="190D2C12"/>
    <w:rsid w:val="19127395"/>
    <w:rsid w:val="19137AFC"/>
    <w:rsid w:val="191915B7"/>
    <w:rsid w:val="192561AE"/>
    <w:rsid w:val="192A37C4"/>
    <w:rsid w:val="192C753C"/>
    <w:rsid w:val="19450C2C"/>
    <w:rsid w:val="194A79C2"/>
    <w:rsid w:val="195728BE"/>
    <w:rsid w:val="195B1BCF"/>
    <w:rsid w:val="19632832"/>
    <w:rsid w:val="19650CF3"/>
    <w:rsid w:val="19665FA6"/>
    <w:rsid w:val="19673150"/>
    <w:rsid w:val="196C5B8A"/>
    <w:rsid w:val="19704C26"/>
    <w:rsid w:val="1982467D"/>
    <w:rsid w:val="199044E1"/>
    <w:rsid w:val="19996FF5"/>
    <w:rsid w:val="199C5D44"/>
    <w:rsid w:val="199E57CD"/>
    <w:rsid w:val="19A277FE"/>
    <w:rsid w:val="19A43300"/>
    <w:rsid w:val="19A54BF8"/>
    <w:rsid w:val="19A90B8D"/>
    <w:rsid w:val="19AC242B"/>
    <w:rsid w:val="19BB08C0"/>
    <w:rsid w:val="19BC405C"/>
    <w:rsid w:val="19BE215E"/>
    <w:rsid w:val="19CE6698"/>
    <w:rsid w:val="19CF6119"/>
    <w:rsid w:val="19E219A9"/>
    <w:rsid w:val="19E42F9F"/>
    <w:rsid w:val="19E576EB"/>
    <w:rsid w:val="19F62E19"/>
    <w:rsid w:val="19F702F7"/>
    <w:rsid w:val="19F83DAB"/>
    <w:rsid w:val="19FD4A34"/>
    <w:rsid w:val="1A0062D3"/>
    <w:rsid w:val="1A051B3B"/>
    <w:rsid w:val="1A0758B3"/>
    <w:rsid w:val="1A0A0EFF"/>
    <w:rsid w:val="1A0A5A83"/>
    <w:rsid w:val="1A0D279E"/>
    <w:rsid w:val="1A1A55E6"/>
    <w:rsid w:val="1A1C2024"/>
    <w:rsid w:val="1A2A15A2"/>
    <w:rsid w:val="1A2A74CC"/>
    <w:rsid w:val="1A2B62C8"/>
    <w:rsid w:val="1A3500F1"/>
    <w:rsid w:val="1A3E3248"/>
    <w:rsid w:val="1A400DC5"/>
    <w:rsid w:val="1A46462D"/>
    <w:rsid w:val="1A530AF8"/>
    <w:rsid w:val="1A7D5B75"/>
    <w:rsid w:val="1A8A3DEE"/>
    <w:rsid w:val="1A9133CF"/>
    <w:rsid w:val="1A940DA9"/>
    <w:rsid w:val="1A9772DF"/>
    <w:rsid w:val="1A9A3F40"/>
    <w:rsid w:val="1AA31326"/>
    <w:rsid w:val="1AA80E44"/>
    <w:rsid w:val="1AA81B85"/>
    <w:rsid w:val="1AAB623F"/>
    <w:rsid w:val="1AAC1FB7"/>
    <w:rsid w:val="1AB64BE3"/>
    <w:rsid w:val="1AB64FE6"/>
    <w:rsid w:val="1AC90DBB"/>
    <w:rsid w:val="1ACA4FEB"/>
    <w:rsid w:val="1ACC5192"/>
    <w:rsid w:val="1ACE4623"/>
    <w:rsid w:val="1AD82DAC"/>
    <w:rsid w:val="1AE904A6"/>
    <w:rsid w:val="1AE9320B"/>
    <w:rsid w:val="1AF04439"/>
    <w:rsid w:val="1AF23244"/>
    <w:rsid w:val="1AFE3235"/>
    <w:rsid w:val="1B050ABD"/>
    <w:rsid w:val="1B0D0CA7"/>
    <w:rsid w:val="1B102545"/>
    <w:rsid w:val="1B212333"/>
    <w:rsid w:val="1B2C7ABC"/>
    <w:rsid w:val="1B34092A"/>
    <w:rsid w:val="1B365091"/>
    <w:rsid w:val="1B391A9C"/>
    <w:rsid w:val="1B397CEE"/>
    <w:rsid w:val="1B430B6D"/>
    <w:rsid w:val="1B481CDF"/>
    <w:rsid w:val="1B4A333E"/>
    <w:rsid w:val="1B4D379A"/>
    <w:rsid w:val="1B6235D9"/>
    <w:rsid w:val="1B6805D3"/>
    <w:rsid w:val="1B722124"/>
    <w:rsid w:val="1B723200"/>
    <w:rsid w:val="1B8076CB"/>
    <w:rsid w:val="1B851185"/>
    <w:rsid w:val="1B8E6546"/>
    <w:rsid w:val="1B9B0474"/>
    <w:rsid w:val="1BA01B1B"/>
    <w:rsid w:val="1BA15893"/>
    <w:rsid w:val="1BA3785E"/>
    <w:rsid w:val="1BA62EAA"/>
    <w:rsid w:val="1BAB6A9B"/>
    <w:rsid w:val="1BBD7CBF"/>
    <w:rsid w:val="1BBE01F3"/>
    <w:rsid w:val="1BC05D1A"/>
    <w:rsid w:val="1BC11A92"/>
    <w:rsid w:val="1BC33A5C"/>
    <w:rsid w:val="1BC87C70"/>
    <w:rsid w:val="1BD47A17"/>
    <w:rsid w:val="1BDF7419"/>
    <w:rsid w:val="1BEA1E5D"/>
    <w:rsid w:val="1BEE4AD0"/>
    <w:rsid w:val="1BFC2ACA"/>
    <w:rsid w:val="1C096D36"/>
    <w:rsid w:val="1C107AF5"/>
    <w:rsid w:val="1C1B3898"/>
    <w:rsid w:val="1C1C6602"/>
    <w:rsid w:val="1C205539"/>
    <w:rsid w:val="1C2D1B56"/>
    <w:rsid w:val="1C2D7127"/>
    <w:rsid w:val="1C2F4C4D"/>
    <w:rsid w:val="1C3B6C63"/>
    <w:rsid w:val="1C4000B2"/>
    <w:rsid w:val="1C424981"/>
    <w:rsid w:val="1C482A17"/>
    <w:rsid w:val="1C4C0CF3"/>
    <w:rsid w:val="1C4C1CA3"/>
    <w:rsid w:val="1C524FE6"/>
    <w:rsid w:val="1C5B1EE6"/>
    <w:rsid w:val="1C6074FD"/>
    <w:rsid w:val="1C672639"/>
    <w:rsid w:val="1C707F80"/>
    <w:rsid w:val="1C760ACE"/>
    <w:rsid w:val="1C821221"/>
    <w:rsid w:val="1C875D8D"/>
    <w:rsid w:val="1C8E7ED4"/>
    <w:rsid w:val="1C9F6277"/>
    <w:rsid w:val="1CA613B3"/>
    <w:rsid w:val="1CAD5393"/>
    <w:rsid w:val="1CCA0F9A"/>
    <w:rsid w:val="1CCE26B8"/>
    <w:rsid w:val="1CDF0421"/>
    <w:rsid w:val="1CDF203E"/>
    <w:rsid w:val="1CE123EB"/>
    <w:rsid w:val="1CF37D41"/>
    <w:rsid w:val="1CF71C0F"/>
    <w:rsid w:val="1CFC179E"/>
    <w:rsid w:val="1CFD1DFA"/>
    <w:rsid w:val="1CFE79ED"/>
    <w:rsid w:val="1D01483C"/>
    <w:rsid w:val="1D032ACB"/>
    <w:rsid w:val="1D04257E"/>
    <w:rsid w:val="1D063C00"/>
    <w:rsid w:val="1D0B7468"/>
    <w:rsid w:val="1D110E86"/>
    <w:rsid w:val="1D1207F7"/>
    <w:rsid w:val="1D206E59"/>
    <w:rsid w:val="1D3544E5"/>
    <w:rsid w:val="1D3712AF"/>
    <w:rsid w:val="1D3E15EC"/>
    <w:rsid w:val="1D464944"/>
    <w:rsid w:val="1D487E55"/>
    <w:rsid w:val="1D4961E3"/>
    <w:rsid w:val="1D4A4435"/>
    <w:rsid w:val="1D507571"/>
    <w:rsid w:val="1D596426"/>
    <w:rsid w:val="1D5A19BD"/>
    <w:rsid w:val="1D5A7FB3"/>
    <w:rsid w:val="1D637C02"/>
    <w:rsid w:val="1D6F3E9B"/>
    <w:rsid w:val="1D7E7C3A"/>
    <w:rsid w:val="1D835B5B"/>
    <w:rsid w:val="1D8673FA"/>
    <w:rsid w:val="1D8B05A9"/>
    <w:rsid w:val="1D8F3529"/>
    <w:rsid w:val="1D9072CB"/>
    <w:rsid w:val="1D9E652E"/>
    <w:rsid w:val="1DA530EA"/>
    <w:rsid w:val="1DA82B34"/>
    <w:rsid w:val="1DAF6046"/>
    <w:rsid w:val="1DB960E5"/>
    <w:rsid w:val="1DC767F5"/>
    <w:rsid w:val="1DC87107"/>
    <w:rsid w:val="1DD45AAC"/>
    <w:rsid w:val="1DDB719F"/>
    <w:rsid w:val="1DF75C3F"/>
    <w:rsid w:val="1DFC5003"/>
    <w:rsid w:val="1DFE6FCD"/>
    <w:rsid w:val="1E004AF3"/>
    <w:rsid w:val="1E0277E4"/>
    <w:rsid w:val="1E032835"/>
    <w:rsid w:val="1E0A387F"/>
    <w:rsid w:val="1E122A78"/>
    <w:rsid w:val="1E214A6A"/>
    <w:rsid w:val="1E2527AC"/>
    <w:rsid w:val="1E296067"/>
    <w:rsid w:val="1E42335E"/>
    <w:rsid w:val="1E4A36CA"/>
    <w:rsid w:val="1E543091"/>
    <w:rsid w:val="1E5E5132"/>
    <w:rsid w:val="1E6E4153"/>
    <w:rsid w:val="1E735627"/>
    <w:rsid w:val="1E8C45D9"/>
    <w:rsid w:val="1EA336D1"/>
    <w:rsid w:val="1EA77665"/>
    <w:rsid w:val="1EB14D57"/>
    <w:rsid w:val="1EB1601C"/>
    <w:rsid w:val="1EBE5EA1"/>
    <w:rsid w:val="1EC41E3F"/>
    <w:rsid w:val="1ECE4BF1"/>
    <w:rsid w:val="1ED27DCF"/>
    <w:rsid w:val="1EE47F71"/>
    <w:rsid w:val="1F022D8D"/>
    <w:rsid w:val="1F040613"/>
    <w:rsid w:val="1F0D6D94"/>
    <w:rsid w:val="1F134CFA"/>
    <w:rsid w:val="1F1620F4"/>
    <w:rsid w:val="1F186F92"/>
    <w:rsid w:val="1F1D3483"/>
    <w:rsid w:val="1F2100E2"/>
    <w:rsid w:val="1F2138EB"/>
    <w:rsid w:val="1F242A63"/>
    <w:rsid w:val="1F6115C2"/>
    <w:rsid w:val="1F69491A"/>
    <w:rsid w:val="1F6F1B08"/>
    <w:rsid w:val="1F71091D"/>
    <w:rsid w:val="1F860324"/>
    <w:rsid w:val="1F887176"/>
    <w:rsid w:val="1F8A1924"/>
    <w:rsid w:val="1F8F25D3"/>
    <w:rsid w:val="1F925C1F"/>
    <w:rsid w:val="1F933A50"/>
    <w:rsid w:val="1FA3607E"/>
    <w:rsid w:val="1FA45298"/>
    <w:rsid w:val="1FB22E97"/>
    <w:rsid w:val="1FBE07C2"/>
    <w:rsid w:val="1FD61FB0"/>
    <w:rsid w:val="1FED10A7"/>
    <w:rsid w:val="1FF72E31"/>
    <w:rsid w:val="1FF74EA9"/>
    <w:rsid w:val="1FFC0927"/>
    <w:rsid w:val="1FFE3FD4"/>
    <w:rsid w:val="1FFF3378"/>
    <w:rsid w:val="20054643"/>
    <w:rsid w:val="20196340"/>
    <w:rsid w:val="201B7BC2"/>
    <w:rsid w:val="202A4C7D"/>
    <w:rsid w:val="202D5948"/>
    <w:rsid w:val="202E47D6"/>
    <w:rsid w:val="203C6C45"/>
    <w:rsid w:val="20491632"/>
    <w:rsid w:val="20527E04"/>
    <w:rsid w:val="20535295"/>
    <w:rsid w:val="205729C5"/>
    <w:rsid w:val="205C03F4"/>
    <w:rsid w:val="205E1FA5"/>
    <w:rsid w:val="206550E2"/>
    <w:rsid w:val="2067008A"/>
    <w:rsid w:val="206C499D"/>
    <w:rsid w:val="206D21E8"/>
    <w:rsid w:val="20721597"/>
    <w:rsid w:val="207215AC"/>
    <w:rsid w:val="20790B8D"/>
    <w:rsid w:val="208E0306"/>
    <w:rsid w:val="20A24D52"/>
    <w:rsid w:val="20A976C4"/>
    <w:rsid w:val="20AD3775"/>
    <w:rsid w:val="20B020A7"/>
    <w:rsid w:val="20B120D5"/>
    <w:rsid w:val="20B80C73"/>
    <w:rsid w:val="20BA11DD"/>
    <w:rsid w:val="20C242E2"/>
    <w:rsid w:val="20CA13E8"/>
    <w:rsid w:val="20CB12D5"/>
    <w:rsid w:val="20DB53A4"/>
    <w:rsid w:val="20EE157B"/>
    <w:rsid w:val="20EF4C87"/>
    <w:rsid w:val="20F52909"/>
    <w:rsid w:val="20F74498"/>
    <w:rsid w:val="20FF63E2"/>
    <w:rsid w:val="210668C5"/>
    <w:rsid w:val="21094AE0"/>
    <w:rsid w:val="210E39CB"/>
    <w:rsid w:val="211B1C44"/>
    <w:rsid w:val="21254871"/>
    <w:rsid w:val="21263B5B"/>
    <w:rsid w:val="21311468"/>
    <w:rsid w:val="21313216"/>
    <w:rsid w:val="21470C8B"/>
    <w:rsid w:val="214C0E71"/>
    <w:rsid w:val="214D5A5C"/>
    <w:rsid w:val="21535882"/>
    <w:rsid w:val="21562C7C"/>
    <w:rsid w:val="215A276C"/>
    <w:rsid w:val="215D476D"/>
    <w:rsid w:val="215F4E8A"/>
    <w:rsid w:val="21620A6E"/>
    <w:rsid w:val="21626312"/>
    <w:rsid w:val="216B6A06"/>
    <w:rsid w:val="21723F5A"/>
    <w:rsid w:val="217575A6"/>
    <w:rsid w:val="21764626"/>
    <w:rsid w:val="21886E30"/>
    <w:rsid w:val="218B501C"/>
    <w:rsid w:val="21957C48"/>
    <w:rsid w:val="219739C1"/>
    <w:rsid w:val="219A525F"/>
    <w:rsid w:val="219A700D"/>
    <w:rsid w:val="21A25EC1"/>
    <w:rsid w:val="21A4525A"/>
    <w:rsid w:val="21B04A82"/>
    <w:rsid w:val="21B53E47"/>
    <w:rsid w:val="21B7196D"/>
    <w:rsid w:val="21BF4CC5"/>
    <w:rsid w:val="21CB69A9"/>
    <w:rsid w:val="21DC7625"/>
    <w:rsid w:val="21E343DC"/>
    <w:rsid w:val="21E40288"/>
    <w:rsid w:val="21ED538F"/>
    <w:rsid w:val="21F42BC1"/>
    <w:rsid w:val="21F91F85"/>
    <w:rsid w:val="21F93D33"/>
    <w:rsid w:val="2208666C"/>
    <w:rsid w:val="220F2F23"/>
    <w:rsid w:val="220F47F9"/>
    <w:rsid w:val="222039B6"/>
    <w:rsid w:val="22205764"/>
    <w:rsid w:val="222114DC"/>
    <w:rsid w:val="2230218C"/>
    <w:rsid w:val="22356D36"/>
    <w:rsid w:val="224C0AEF"/>
    <w:rsid w:val="225278E7"/>
    <w:rsid w:val="22596EC8"/>
    <w:rsid w:val="226732BD"/>
    <w:rsid w:val="2274785E"/>
    <w:rsid w:val="228D0920"/>
    <w:rsid w:val="228F7500"/>
    <w:rsid w:val="2297761B"/>
    <w:rsid w:val="22A87507"/>
    <w:rsid w:val="22BD1205"/>
    <w:rsid w:val="22C233F3"/>
    <w:rsid w:val="22C30A5B"/>
    <w:rsid w:val="22C81958"/>
    <w:rsid w:val="22C95DFC"/>
    <w:rsid w:val="22D14CB0"/>
    <w:rsid w:val="22E542B8"/>
    <w:rsid w:val="22EA5CE4"/>
    <w:rsid w:val="22EC3898"/>
    <w:rsid w:val="22F42078"/>
    <w:rsid w:val="22F65234"/>
    <w:rsid w:val="22FB3FA8"/>
    <w:rsid w:val="230230BC"/>
    <w:rsid w:val="230C7A96"/>
    <w:rsid w:val="23151041"/>
    <w:rsid w:val="23166B67"/>
    <w:rsid w:val="231D7EF5"/>
    <w:rsid w:val="2335523F"/>
    <w:rsid w:val="234368B0"/>
    <w:rsid w:val="23452FA8"/>
    <w:rsid w:val="234B1E55"/>
    <w:rsid w:val="234D7060"/>
    <w:rsid w:val="23515944"/>
    <w:rsid w:val="23570963"/>
    <w:rsid w:val="23582CDC"/>
    <w:rsid w:val="235C0A1E"/>
    <w:rsid w:val="236E69A3"/>
    <w:rsid w:val="23724388"/>
    <w:rsid w:val="2374033C"/>
    <w:rsid w:val="237408CA"/>
    <w:rsid w:val="23757C18"/>
    <w:rsid w:val="23775858"/>
    <w:rsid w:val="238166D6"/>
    <w:rsid w:val="23843AD1"/>
    <w:rsid w:val="23867849"/>
    <w:rsid w:val="239D302C"/>
    <w:rsid w:val="239E1FF2"/>
    <w:rsid w:val="23A203FB"/>
    <w:rsid w:val="23AC7179"/>
    <w:rsid w:val="23AD74CB"/>
    <w:rsid w:val="23AE4FF1"/>
    <w:rsid w:val="23B80E5E"/>
    <w:rsid w:val="23C55B03"/>
    <w:rsid w:val="23CB6437"/>
    <w:rsid w:val="23D507D0"/>
    <w:rsid w:val="23D9206E"/>
    <w:rsid w:val="23F058F7"/>
    <w:rsid w:val="23F37571"/>
    <w:rsid w:val="240072E8"/>
    <w:rsid w:val="240E783E"/>
    <w:rsid w:val="241412F8"/>
    <w:rsid w:val="242332EA"/>
    <w:rsid w:val="24255DD1"/>
    <w:rsid w:val="242B4894"/>
    <w:rsid w:val="2443573A"/>
    <w:rsid w:val="24457704"/>
    <w:rsid w:val="24477413"/>
    <w:rsid w:val="2451287F"/>
    <w:rsid w:val="246F29D3"/>
    <w:rsid w:val="24720BE5"/>
    <w:rsid w:val="2483647E"/>
    <w:rsid w:val="24893795"/>
    <w:rsid w:val="248A15BB"/>
    <w:rsid w:val="24907EC5"/>
    <w:rsid w:val="249209C1"/>
    <w:rsid w:val="24942439"/>
    <w:rsid w:val="249501A6"/>
    <w:rsid w:val="249C309C"/>
    <w:rsid w:val="24A87C93"/>
    <w:rsid w:val="24B11346"/>
    <w:rsid w:val="24B8590D"/>
    <w:rsid w:val="24B905B9"/>
    <w:rsid w:val="24BB1774"/>
    <w:rsid w:val="24BD71A8"/>
    <w:rsid w:val="24D548E3"/>
    <w:rsid w:val="24D6035C"/>
    <w:rsid w:val="24D665AE"/>
    <w:rsid w:val="24EC0F48"/>
    <w:rsid w:val="24F125CC"/>
    <w:rsid w:val="24F42ED8"/>
    <w:rsid w:val="251B66B7"/>
    <w:rsid w:val="25302162"/>
    <w:rsid w:val="253357AE"/>
    <w:rsid w:val="2536704D"/>
    <w:rsid w:val="253F23A5"/>
    <w:rsid w:val="253F7A13"/>
    <w:rsid w:val="254F010E"/>
    <w:rsid w:val="2561056D"/>
    <w:rsid w:val="257B2708"/>
    <w:rsid w:val="257E2025"/>
    <w:rsid w:val="257F6C45"/>
    <w:rsid w:val="25867FD4"/>
    <w:rsid w:val="258778A8"/>
    <w:rsid w:val="259A65EA"/>
    <w:rsid w:val="259D70CC"/>
    <w:rsid w:val="25A77F4A"/>
    <w:rsid w:val="25A862DF"/>
    <w:rsid w:val="25AF70F4"/>
    <w:rsid w:val="25B13D7D"/>
    <w:rsid w:val="25B52667"/>
    <w:rsid w:val="25BB72CB"/>
    <w:rsid w:val="25C40AFC"/>
    <w:rsid w:val="25C77B3F"/>
    <w:rsid w:val="25C94365"/>
    <w:rsid w:val="25C97EC1"/>
    <w:rsid w:val="25CA43A7"/>
    <w:rsid w:val="25CE197B"/>
    <w:rsid w:val="25F203BA"/>
    <w:rsid w:val="25FA2770"/>
    <w:rsid w:val="25FE3495"/>
    <w:rsid w:val="26080E3C"/>
    <w:rsid w:val="260A341E"/>
    <w:rsid w:val="26105AEF"/>
    <w:rsid w:val="26143E25"/>
    <w:rsid w:val="26162FF5"/>
    <w:rsid w:val="26177FE1"/>
    <w:rsid w:val="261D58CB"/>
    <w:rsid w:val="262339B3"/>
    <w:rsid w:val="26265313"/>
    <w:rsid w:val="262B2929"/>
    <w:rsid w:val="2636290B"/>
    <w:rsid w:val="26393298"/>
    <w:rsid w:val="263B7010"/>
    <w:rsid w:val="26431A21"/>
    <w:rsid w:val="26451C3D"/>
    <w:rsid w:val="264C410F"/>
    <w:rsid w:val="26667E05"/>
    <w:rsid w:val="26720558"/>
    <w:rsid w:val="26747E2C"/>
    <w:rsid w:val="26793695"/>
    <w:rsid w:val="2685203A"/>
    <w:rsid w:val="26926505"/>
    <w:rsid w:val="269C3827"/>
    <w:rsid w:val="26A17DE4"/>
    <w:rsid w:val="26C03072"/>
    <w:rsid w:val="26C17F9E"/>
    <w:rsid w:val="26DF2600"/>
    <w:rsid w:val="26EA27E4"/>
    <w:rsid w:val="26EF572B"/>
    <w:rsid w:val="26F40614"/>
    <w:rsid w:val="26F947D6"/>
    <w:rsid w:val="27070CA1"/>
    <w:rsid w:val="270C62B7"/>
    <w:rsid w:val="270D202F"/>
    <w:rsid w:val="27167136"/>
    <w:rsid w:val="271E5FEA"/>
    <w:rsid w:val="273D46C2"/>
    <w:rsid w:val="27473793"/>
    <w:rsid w:val="27496B31"/>
    <w:rsid w:val="2767173F"/>
    <w:rsid w:val="276C4964"/>
    <w:rsid w:val="27747911"/>
    <w:rsid w:val="277C5127"/>
    <w:rsid w:val="27801341"/>
    <w:rsid w:val="278E1F0E"/>
    <w:rsid w:val="279E53FC"/>
    <w:rsid w:val="27A26AA4"/>
    <w:rsid w:val="27B34984"/>
    <w:rsid w:val="27B4466B"/>
    <w:rsid w:val="27BA026B"/>
    <w:rsid w:val="27BD5803"/>
    <w:rsid w:val="27BE1EE9"/>
    <w:rsid w:val="27CB7D59"/>
    <w:rsid w:val="27D8088F"/>
    <w:rsid w:val="27DD40F7"/>
    <w:rsid w:val="27E664E7"/>
    <w:rsid w:val="27F11841"/>
    <w:rsid w:val="27F87EC7"/>
    <w:rsid w:val="28001620"/>
    <w:rsid w:val="28054684"/>
    <w:rsid w:val="280A18FA"/>
    <w:rsid w:val="2814044A"/>
    <w:rsid w:val="281652C2"/>
    <w:rsid w:val="28235CB1"/>
    <w:rsid w:val="28237D5C"/>
    <w:rsid w:val="283346EC"/>
    <w:rsid w:val="284444C1"/>
    <w:rsid w:val="284657F9"/>
    <w:rsid w:val="28593962"/>
    <w:rsid w:val="28612632"/>
    <w:rsid w:val="28645844"/>
    <w:rsid w:val="28702875"/>
    <w:rsid w:val="287205E0"/>
    <w:rsid w:val="287F6F5C"/>
    <w:rsid w:val="288051AE"/>
    <w:rsid w:val="288307FB"/>
    <w:rsid w:val="28840803"/>
    <w:rsid w:val="288B76AF"/>
    <w:rsid w:val="288E7690"/>
    <w:rsid w:val="2892356B"/>
    <w:rsid w:val="28A013AD"/>
    <w:rsid w:val="28AD1D1C"/>
    <w:rsid w:val="28B9421C"/>
    <w:rsid w:val="28BE1833"/>
    <w:rsid w:val="28C61126"/>
    <w:rsid w:val="28CD6A08"/>
    <w:rsid w:val="28E16812"/>
    <w:rsid w:val="28E45F21"/>
    <w:rsid w:val="28E55011"/>
    <w:rsid w:val="28F92766"/>
    <w:rsid w:val="2903193C"/>
    <w:rsid w:val="290C07F0"/>
    <w:rsid w:val="2920604A"/>
    <w:rsid w:val="2925213E"/>
    <w:rsid w:val="29283150"/>
    <w:rsid w:val="292A511A"/>
    <w:rsid w:val="292F0982"/>
    <w:rsid w:val="294257CB"/>
    <w:rsid w:val="295201CD"/>
    <w:rsid w:val="29575541"/>
    <w:rsid w:val="2958126A"/>
    <w:rsid w:val="29641857"/>
    <w:rsid w:val="296A19BB"/>
    <w:rsid w:val="29796F88"/>
    <w:rsid w:val="29883BEF"/>
    <w:rsid w:val="29946A38"/>
    <w:rsid w:val="299627B0"/>
    <w:rsid w:val="29973FC9"/>
    <w:rsid w:val="299B6018"/>
    <w:rsid w:val="299C1C19"/>
    <w:rsid w:val="29A0718A"/>
    <w:rsid w:val="29A273A6"/>
    <w:rsid w:val="29A2742D"/>
    <w:rsid w:val="29A547A1"/>
    <w:rsid w:val="29AB7F2B"/>
    <w:rsid w:val="29AC5B2F"/>
    <w:rsid w:val="29B23BBA"/>
    <w:rsid w:val="29B77403"/>
    <w:rsid w:val="29C21110"/>
    <w:rsid w:val="29D3130E"/>
    <w:rsid w:val="29F034B9"/>
    <w:rsid w:val="29F574D6"/>
    <w:rsid w:val="29F64FFC"/>
    <w:rsid w:val="29FD7BB5"/>
    <w:rsid w:val="29FF0355"/>
    <w:rsid w:val="2A01191F"/>
    <w:rsid w:val="2A0616E3"/>
    <w:rsid w:val="2A0E67EA"/>
    <w:rsid w:val="2A157B78"/>
    <w:rsid w:val="2A17569E"/>
    <w:rsid w:val="2A202079"/>
    <w:rsid w:val="2A204246"/>
    <w:rsid w:val="2A247DBB"/>
    <w:rsid w:val="2A252C00"/>
    <w:rsid w:val="2A263B34"/>
    <w:rsid w:val="2A2658E2"/>
    <w:rsid w:val="2A351FC9"/>
    <w:rsid w:val="2A3C3357"/>
    <w:rsid w:val="2A3D2C2B"/>
    <w:rsid w:val="2A461C9A"/>
    <w:rsid w:val="2A5C2CCF"/>
    <w:rsid w:val="2A5F7045"/>
    <w:rsid w:val="2A624DAB"/>
    <w:rsid w:val="2A6428AE"/>
    <w:rsid w:val="2A703001"/>
    <w:rsid w:val="2A7072EF"/>
    <w:rsid w:val="2A764E36"/>
    <w:rsid w:val="2A7F3C99"/>
    <w:rsid w:val="2A7F4FF2"/>
    <w:rsid w:val="2A826529"/>
    <w:rsid w:val="2A975BCA"/>
    <w:rsid w:val="2AC06748"/>
    <w:rsid w:val="2AC44732"/>
    <w:rsid w:val="2AC656AD"/>
    <w:rsid w:val="2AC70C94"/>
    <w:rsid w:val="2ACE1AD5"/>
    <w:rsid w:val="2ACF5F79"/>
    <w:rsid w:val="2AD510B6"/>
    <w:rsid w:val="2AE51C90"/>
    <w:rsid w:val="2AE75C53"/>
    <w:rsid w:val="2AEB08D9"/>
    <w:rsid w:val="2AEC23B9"/>
    <w:rsid w:val="2AF21C68"/>
    <w:rsid w:val="2AF23A16"/>
    <w:rsid w:val="2AF4148F"/>
    <w:rsid w:val="2AF8282F"/>
    <w:rsid w:val="2AFF670F"/>
    <w:rsid w:val="2B154319"/>
    <w:rsid w:val="2B177920"/>
    <w:rsid w:val="2B2A77D1"/>
    <w:rsid w:val="2B2D0EF2"/>
    <w:rsid w:val="2B2F6A18"/>
    <w:rsid w:val="2B320492"/>
    <w:rsid w:val="2B3C2EE3"/>
    <w:rsid w:val="2B434271"/>
    <w:rsid w:val="2B473D61"/>
    <w:rsid w:val="2B487ADA"/>
    <w:rsid w:val="2B514BE0"/>
    <w:rsid w:val="2B7E174D"/>
    <w:rsid w:val="2B8419BB"/>
    <w:rsid w:val="2B870602"/>
    <w:rsid w:val="2B93029A"/>
    <w:rsid w:val="2B960820"/>
    <w:rsid w:val="2B9B22FF"/>
    <w:rsid w:val="2BA72A52"/>
    <w:rsid w:val="2BA94A1C"/>
    <w:rsid w:val="2BB93744"/>
    <w:rsid w:val="2BCC4267"/>
    <w:rsid w:val="2BCF1785"/>
    <w:rsid w:val="2BD80E5D"/>
    <w:rsid w:val="2BDA3543"/>
    <w:rsid w:val="2BE07C9D"/>
    <w:rsid w:val="2BE07D12"/>
    <w:rsid w:val="2BF12898"/>
    <w:rsid w:val="2BF51A0F"/>
    <w:rsid w:val="2BF72CE4"/>
    <w:rsid w:val="2BFA7026"/>
    <w:rsid w:val="2BFE4851"/>
    <w:rsid w:val="2C0725E1"/>
    <w:rsid w:val="2C245E51"/>
    <w:rsid w:val="2C2A57F5"/>
    <w:rsid w:val="2C2B3683"/>
    <w:rsid w:val="2C323E1B"/>
    <w:rsid w:val="2C351E0C"/>
    <w:rsid w:val="2C3657B6"/>
    <w:rsid w:val="2C424529"/>
    <w:rsid w:val="2C4604BD"/>
    <w:rsid w:val="2C4D265A"/>
    <w:rsid w:val="2C626979"/>
    <w:rsid w:val="2C680433"/>
    <w:rsid w:val="2C6B1CD2"/>
    <w:rsid w:val="2C6F0711"/>
    <w:rsid w:val="2C6F0EDD"/>
    <w:rsid w:val="2C7843EE"/>
    <w:rsid w:val="2C932FD6"/>
    <w:rsid w:val="2C9C00DD"/>
    <w:rsid w:val="2CA156F3"/>
    <w:rsid w:val="2CAD35A4"/>
    <w:rsid w:val="2CB216AE"/>
    <w:rsid w:val="2CB2345D"/>
    <w:rsid w:val="2CB30491"/>
    <w:rsid w:val="2CB35427"/>
    <w:rsid w:val="2CBC077F"/>
    <w:rsid w:val="2CCD06C9"/>
    <w:rsid w:val="2CCF04B2"/>
    <w:rsid w:val="2CE675AA"/>
    <w:rsid w:val="2D0C5AED"/>
    <w:rsid w:val="2D0E2AF2"/>
    <w:rsid w:val="2D0F461F"/>
    <w:rsid w:val="2D157E8F"/>
    <w:rsid w:val="2D2307FE"/>
    <w:rsid w:val="2D297497"/>
    <w:rsid w:val="2D2F71A3"/>
    <w:rsid w:val="2D3447B9"/>
    <w:rsid w:val="2D3C366E"/>
    <w:rsid w:val="2D524F6C"/>
    <w:rsid w:val="2D6646E1"/>
    <w:rsid w:val="2D725915"/>
    <w:rsid w:val="2D832920"/>
    <w:rsid w:val="2D853D5B"/>
    <w:rsid w:val="2D8A43D9"/>
    <w:rsid w:val="2D8D3ECA"/>
    <w:rsid w:val="2D8F19F0"/>
    <w:rsid w:val="2D8F379E"/>
    <w:rsid w:val="2D984D48"/>
    <w:rsid w:val="2D9E1C33"/>
    <w:rsid w:val="2DA77037"/>
    <w:rsid w:val="2DB41456"/>
    <w:rsid w:val="2DB80F46"/>
    <w:rsid w:val="2DB87198"/>
    <w:rsid w:val="2DB92998"/>
    <w:rsid w:val="2DBB27E5"/>
    <w:rsid w:val="2DC45B3D"/>
    <w:rsid w:val="2DCC119B"/>
    <w:rsid w:val="2DCD42C6"/>
    <w:rsid w:val="2DCE61A5"/>
    <w:rsid w:val="2DCF003E"/>
    <w:rsid w:val="2DD90EBD"/>
    <w:rsid w:val="2DDA47E2"/>
    <w:rsid w:val="2DDB4B4A"/>
    <w:rsid w:val="2DDD6BFF"/>
    <w:rsid w:val="2DDE2919"/>
    <w:rsid w:val="2DE51608"/>
    <w:rsid w:val="2DEA131C"/>
    <w:rsid w:val="2DFE05F6"/>
    <w:rsid w:val="2E0423DE"/>
    <w:rsid w:val="2E04418C"/>
    <w:rsid w:val="2E052EE6"/>
    <w:rsid w:val="2E0E6DB8"/>
    <w:rsid w:val="2E100D83"/>
    <w:rsid w:val="2E187C37"/>
    <w:rsid w:val="2E232138"/>
    <w:rsid w:val="2E2670B3"/>
    <w:rsid w:val="2E2D0067"/>
    <w:rsid w:val="2E3031D3"/>
    <w:rsid w:val="2E3B49A1"/>
    <w:rsid w:val="2E48049B"/>
    <w:rsid w:val="2E4850A2"/>
    <w:rsid w:val="2E494294"/>
    <w:rsid w:val="2E496043"/>
    <w:rsid w:val="2E4C2321"/>
    <w:rsid w:val="2E536EC1"/>
    <w:rsid w:val="2E58358E"/>
    <w:rsid w:val="2E5D564A"/>
    <w:rsid w:val="2E680C36"/>
    <w:rsid w:val="2E725599"/>
    <w:rsid w:val="2E7D5CEC"/>
    <w:rsid w:val="2E7F3812"/>
    <w:rsid w:val="2E7F6A39"/>
    <w:rsid w:val="2E862DF3"/>
    <w:rsid w:val="2E8E1CA7"/>
    <w:rsid w:val="2EA441F6"/>
    <w:rsid w:val="2EA80FBB"/>
    <w:rsid w:val="2EA94D33"/>
    <w:rsid w:val="2EAB4607"/>
    <w:rsid w:val="2EB711FE"/>
    <w:rsid w:val="2EC06357"/>
    <w:rsid w:val="2EC1207D"/>
    <w:rsid w:val="2EC15BD9"/>
    <w:rsid w:val="2EC53539"/>
    <w:rsid w:val="2ECA39AF"/>
    <w:rsid w:val="2ECC4915"/>
    <w:rsid w:val="2ECF113A"/>
    <w:rsid w:val="2ED00512"/>
    <w:rsid w:val="2EDF69A7"/>
    <w:rsid w:val="2EF7784D"/>
    <w:rsid w:val="2EFA558F"/>
    <w:rsid w:val="2EFE507F"/>
    <w:rsid w:val="2F0223AB"/>
    <w:rsid w:val="2F3E191F"/>
    <w:rsid w:val="2F430CE4"/>
    <w:rsid w:val="2F452CAE"/>
    <w:rsid w:val="2F5527C5"/>
    <w:rsid w:val="2F566C69"/>
    <w:rsid w:val="2F5C7FF7"/>
    <w:rsid w:val="2F5E78CC"/>
    <w:rsid w:val="2F6957CC"/>
    <w:rsid w:val="2F754C15"/>
    <w:rsid w:val="2F840494"/>
    <w:rsid w:val="2F857792"/>
    <w:rsid w:val="2F8A06C1"/>
    <w:rsid w:val="2F8A6440"/>
    <w:rsid w:val="2F927575"/>
    <w:rsid w:val="2FB471B8"/>
    <w:rsid w:val="2FC242FE"/>
    <w:rsid w:val="2FC400E6"/>
    <w:rsid w:val="2FCC6F2B"/>
    <w:rsid w:val="2FCD4A51"/>
    <w:rsid w:val="2FD47B8E"/>
    <w:rsid w:val="2FDC7881"/>
    <w:rsid w:val="2FDD4C94"/>
    <w:rsid w:val="2FDE3042"/>
    <w:rsid w:val="2FDE7E3B"/>
    <w:rsid w:val="2FEE7E64"/>
    <w:rsid w:val="2FF40230"/>
    <w:rsid w:val="2FFE4C0B"/>
    <w:rsid w:val="30161F54"/>
    <w:rsid w:val="30185CCC"/>
    <w:rsid w:val="301D1535"/>
    <w:rsid w:val="3049730B"/>
    <w:rsid w:val="304B1246"/>
    <w:rsid w:val="305568FC"/>
    <w:rsid w:val="30585DF6"/>
    <w:rsid w:val="305D4027"/>
    <w:rsid w:val="30617519"/>
    <w:rsid w:val="30666833"/>
    <w:rsid w:val="3069477A"/>
    <w:rsid w:val="30717AD3"/>
    <w:rsid w:val="30847806"/>
    <w:rsid w:val="308570DA"/>
    <w:rsid w:val="30915A7F"/>
    <w:rsid w:val="3094283E"/>
    <w:rsid w:val="309A6342"/>
    <w:rsid w:val="30AB66A8"/>
    <w:rsid w:val="30BA6D84"/>
    <w:rsid w:val="30C71C5F"/>
    <w:rsid w:val="30DA39B5"/>
    <w:rsid w:val="30E11048"/>
    <w:rsid w:val="30E16A06"/>
    <w:rsid w:val="30E4644A"/>
    <w:rsid w:val="30EF0D7B"/>
    <w:rsid w:val="30F32296"/>
    <w:rsid w:val="30F671A3"/>
    <w:rsid w:val="30F71D86"/>
    <w:rsid w:val="30F90DB8"/>
    <w:rsid w:val="31012C04"/>
    <w:rsid w:val="310C5404"/>
    <w:rsid w:val="311346E6"/>
    <w:rsid w:val="311D18F2"/>
    <w:rsid w:val="311E5564"/>
    <w:rsid w:val="31285B60"/>
    <w:rsid w:val="313A6116"/>
    <w:rsid w:val="313A7EC4"/>
    <w:rsid w:val="31413001"/>
    <w:rsid w:val="314A0092"/>
    <w:rsid w:val="31523460"/>
    <w:rsid w:val="3152520E"/>
    <w:rsid w:val="31532D34"/>
    <w:rsid w:val="31534C28"/>
    <w:rsid w:val="315C608D"/>
    <w:rsid w:val="31610221"/>
    <w:rsid w:val="316D2048"/>
    <w:rsid w:val="316F5349"/>
    <w:rsid w:val="317A6513"/>
    <w:rsid w:val="317C7A6B"/>
    <w:rsid w:val="31833619"/>
    <w:rsid w:val="3196159F"/>
    <w:rsid w:val="319962F6"/>
    <w:rsid w:val="319B63CF"/>
    <w:rsid w:val="319F72C8"/>
    <w:rsid w:val="31A57ABC"/>
    <w:rsid w:val="31A735CA"/>
    <w:rsid w:val="31B45EC9"/>
    <w:rsid w:val="31C04C93"/>
    <w:rsid w:val="31C37EBA"/>
    <w:rsid w:val="31E813D0"/>
    <w:rsid w:val="31EA643A"/>
    <w:rsid w:val="31F44319"/>
    <w:rsid w:val="31FA0F44"/>
    <w:rsid w:val="31FA63E7"/>
    <w:rsid w:val="32052697"/>
    <w:rsid w:val="32075FF9"/>
    <w:rsid w:val="32144BB9"/>
    <w:rsid w:val="321C4A6C"/>
    <w:rsid w:val="321E410B"/>
    <w:rsid w:val="322039B3"/>
    <w:rsid w:val="32290665"/>
    <w:rsid w:val="32292413"/>
    <w:rsid w:val="323C2EFC"/>
    <w:rsid w:val="324A2916"/>
    <w:rsid w:val="32502792"/>
    <w:rsid w:val="32540146"/>
    <w:rsid w:val="3259184C"/>
    <w:rsid w:val="325C441C"/>
    <w:rsid w:val="326C2300"/>
    <w:rsid w:val="326F3B9E"/>
    <w:rsid w:val="327B69E7"/>
    <w:rsid w:val="327F0285"/>
    <w:rsid w:val="327F64D7"/>
    <w:rsid w:val="3287538B"/>
    <w:rsid w:val="3291620A"/>
    <w:rsid w:val="3293788C"/>
    <w:rsid w:val="32955444"/>
    <w:rsid w:val="32991A14"/>
    <w:rsid w:val="329A50BF"/>
    <w:rsid w:val="32AA336E"/>
    <w:rsid w:val="32AB5B23"/>
    <w:rsid w:val="32AF6333"/>
    <w:rsid w:val="32BF4B25"/>
    <w:rsid w:val="32D06D32"/>
    <w:rsid w:val="32DB1C5F"/>
    <w:rsid w:val="32DD7134"/>
    <w:rsid w:val="32DE617E"/>
    <w:rsid w:val="32F347CF"/>
    <w:rsid w:val="32F56799"/>
    <w:rsid w:val="32F62030"/>
    <w:rsid w:val="32FA1ACE"/>
    <w:rsid w:val="32FE25CD"/>
    <w:rsid w:val="33114C55"/>
    <w:rsid w:val="33240E2C"/>
    <w:rsid w:val="3328091C"/>
    <w:rsid w:val="332C1A8F"/>
    <w:rsid w:val="33337C2B"/>
    <w:rsid w:val="33353039"/>
    <w:rsid w:val="33501C21"/>
    <w:rsid w:val="335E62F2"/>
    <w:rsid w:val="335F1E64"/>
    <w:rsid w:val="336851BD"/>
    <w:rsid w:val="337B4EF0"/>
    <w:rsid w:val="33811DDB"/>
    <w:rsid w:val="338E62A6"/>
    <w:rsid w:val="339320C6"/>
    <w:rsid w:val="33A1247D"/>
    <w:rsid w:val="33A67A93"/>
    <w:rsid w:val="33A855B9"/>
    <w:rsid w:val="33A9318D"/>
    <w:rsid w:val="33B977C6"/>
    <w:rsid w:val="33BE0B87"/>
    <w:rsid w:val="33BF2903"/>
    <w:rsid w:val="33C323F3"/>
    <w:rsid w:val="33C368F0"/>
    <w:rsid w:val="33C543BD"/>
    <w:rsid w:val="33CA19D4"/>
    <w:rsid w:val="33D978ED"/>
    <w:rsid w:val="33DC1707"/>
    <w:rsid w:val="33E323BD"/>
    <w:rsid w:val="33EA3373"/>
    <w:rsid w:val="33EA3E24"/>
    <w:rsid w:val="33EC40A9"/>
    <w:rsid w:val="33EC7B9C"/>
    <w:rsid w:val="33FE31F0"/>
    <w:rsid w:val="340516CD"/>
    <w:rsid w:val="340F5638"/>
    <w:rsid w:val="340F73E6"/>
    <w:rsid w:val="341113B0"/>
    <w:rsid w:val="341B222F"/>
    <w:rsid w:val="341B6005"/>
    <w:rsid w:val="341D5FA7"/>
    <w:rsid w:val="34214AFA"/>
    <w:rsid w:val="3422688D"/>
    <w:rsid w:val="342667DB"/>
    <w:rsid w:val="34270BD4"/>
    <w:rsid w:val="342A06C4"/>
    <w:rsid w:val="342B0087"/>
    <w:rsid w:val="342D2741"/>
    <w:rsid w:val="343926B5"/>
    <w:rsid w:val="34480B4A"/>
    <w:rsid w:val="344C4197"/>
    <w:rsid w:val="344D3968"/>
    <w:rsid w:val="345B6AD0"/>
    <w:rsid w:val="346044D6"/>
    <w:rsid w:val="346314E0"/>
    <w:rsid w:val="346634DB"/>
    <w:rsid w:val="3473029D"/>
    <w:rsid w:val="3474193F"/>
    <w:rsid w:val="347831DE"/>
    <w:rsid w:val="347B4B2C"/>
    <w:rsid w:val="347E0A23"/>
    <w:rsid w:val="34830137"/>
    <w:rsid w:val="3491604D"/>
    <w:rsid w:val="34963664"/>
    <w:rsid w:val="34AA710F"/>
    <w:rsid w:val="34B561E0"/>
    <w:rsid w:val="34BF705E"/>
    <w:rsid w:val="34C113C9"/>
    <w:rsid w:val="34C37AAD"/>
    <w:rsid w:val="34CD4E22"/>
    <w:rsid w:val="34D32B0A"/>
    <w:rsid w:val="34D66156"/>
    <w:rsid w:val="34D92640"/>
    <w:rsid w:val="34E07C8A"/>
    <w:rsid w:val="34E70363"/>
    <w:rsid w:val="34E73EBF"/>
    <w:rsid w:val="34EB6561"/>
    <w:rsid w:val="34F62354"/>
    <w:rsid w:val="34F72ADF"/>
    <w:rsid w:val="3522139B"/>
    <w:rsid w:val="3524568E"/>
    <w:rsid w:val="352F6614"/>
    <w:rsid w:val="353C420B"/>
    <w:rsid w:val="353F5480"/>
    <w:rsid w:val="35464E57"/>
    <w:rsid w:val="35496928"/>
    <w:rsid w:val="355D23D3"/>
    <w:rsid w:val="35681BF4"/>
    <w:rsid w:val="356E638F"/>
    <w:rsid w:val="357339A5"/>
    <w:rsid w:val="35803E13"/>
    <w:rsid w:val="35845BB2"/>
    <w:rsid w:val="358A766C"/>
    <w:rsid w:val="358B239B"/>
    <w:rsid w:val="358D0F0B"/>
    <w:rsid w:val="35904557"/>
    <w:rsid w:val="359152E1"/>
    <w:rsid w:val="3592207D"/>
    <w:rsid w:val="35A3428A"/>
    <w:rsid w:val="35A54015"/>
    <w:rsid w:val="35C3492C"/>
    <w:rsid w:val="35D408E8"/>
    <w:rsid w:val="35D94B0C"/>
    <w:rsid w:val="35DA3A24"/>
    <w:rsid w:val="35E13F3F"/>
    <w:rsid w:val="35ED12BD"/>
    <w:rsid w:val="35F65BD2"/>
    <w:rsid w:val="360C48A6"/>
    <w:rsid w:val="36101BFE"/>
    <w:rsid w:val="36160F00"/>
    <w:rsid w:val="361B02C4"/>
    <w:rsid w:val="362D624A"/>
    <w:rsid w:val="363941FA"/>
    <w:rsid w:val="364F4412"/>
    <w:rsid w:val="365B4B65"/>
    <w:rsid w:val="36634BAA"/>
    <w:rsid w:val="36685852"/>
    <w:rsid w:val="367560AE"/>
    <w:rsid w:val="36826596"/>
    <w:rsid w:val="368340BC"/>
    <w:rsid w:val="368816D2"/>
    <w:rsid w:val="36941E25"/>
    <w:rsid w:val="369611B2"/>
    <w:rsid w:val="3699743B"/>
    <w:rsid w:val="369E2CA4"/>
    <w:rsid w:val="36A302BA"/>
    <w:rsid w:val="36A4650C"/>
    <w:rsid w:val="36C9112D"/>
    <w:rsid w:val="36C97DF8"/>
    <w:rsid w:val="36D36DF1"/>
    <w:rsid w:val="36DA45EC"/>
    <w:rsid w:val="36DD41B5"/>
    <w:rsid w:val="36EA0E4B"/>
    <w:rsid w:val="36F17277"/>
    <w:rsid w:val="36F24A5F"/>
    <w:rsid w:val="36F56D67"/>
    <w:rsid w:val="37052E82"/>
    <w:rsid w:val="3713725C"/>
    <w:rsid w:val="371C29D2"/>
    <w:rsid w:val="372A62DE"/>
    <w:rsid w:val="372C4753"/>
    <w:rsid w:val="37473116"/>
    <w:rsid w:val="3748158D"/>
    <w:rsid w:val="375F2433"/>
    <w:rsid w:val="37712166"/>
    <w:rsid w:val="3772660A"/>
    <w:rsid w:val="37781747"/>
    <w:rsid w:val="377F4883"/>
    <w:rsid w:val="37827BA6"/>
    <w:rsid w:val="3795719C"/>
    <w:rsid w:val="379E11AD"/>
    <w:rsid w:val="37A740D2"/>
    <w:rsid w:val="37AE3AA5"/>
    <w:rsid w:val="37B07132"/>
    <w:rsid w:val="37B64AD5"/>
    <w:rsid w:val="37BF775F"/>
    <w:rsid w:val="37C70626"/>
    <w:rsid w:val="37DA41AF"/>
    <w:rsid w:val="37E87F69"/>
    <w:rsid w:val="37EA34C5"/>
    <w:rsid w:val="37F504A5"/>
    <w:rsid w:val="38042FDA"/>
    <w:rsid w:val="380B25BB"/>
    <w:rsid w:val="380F4FE6"/>
    <w:rsid w:val="38196A86"/>
    <w:rsid w:val="381A1CAB"/>
    <w:rsid w:val="381F33F8"/>
    <w:rsid w:val="3821593A"/>
    <w:rsid w:val="38291D9F"/>
    <w:rsid w:val="382D42DF"/>
    <w:rsid w:val="383D6B6F"/>
    <w:rsid w:val="3841186D"/>
    <w:rsid w:val="384C7516"/>
    <w:rsid w:val="3853698F"/>
    <w:rsid w:val="3857135C"/>
    <w:rsid w:val="385B0E4C"/>
    <w:rsid w:val="38607848"/>
    <w:rsid w:val="38726196"/>
    <w:rsid w:val="38743CBC"/>
    <w:rsid w:val="387864DB"/>
    <w:rsid w:val="387F4E48"/>
    <w:rsid w:val="38863E83"/>
    <w:rsid w:val="388D2FD0"/>
    <w:rsid w:val="38922A9A"/>
    <w:rsid w:val="389D3895"/>
    <w:rsid w:val="389F4656"/>
    <w:rsid w:val="38A02D03"/>
    <w:rsid w:val="38A071A7"/>
    <w:rsid w:val="38AC5B4C"/>
    <w:rsid w:val="38AD71CE"/>
    <w:rsid w:val="38AF1198"/>
    <w:rsid w:val="38B13162"/>
    <w:rsid w:val="38C71FDF"/>
    <w:rsid w:val="38CD161E"/>
    <w:rsid w:val="38D1110E"/>
    <w:rsid w:val="38D429AD"/>
    <w:rsid w:val="38DC28FA"/>
    <w:rsid w:val="38E928FC"/>
    <w:rsid w:val="38EC5F48"/>
    <w:rsid w:val="38EF5A38"/>
    <w:rsid w:val="38FC1F69"/>
    <w:rsid w:val="39007E86"/>
    <w:rsid w:val="3914724D"/>
    <w:rsid w:val="391F0B5F"/>
    <w:rsid w:val="391F22D8"/>
    <w:rsid w:val="39202096"/>
    <w:rsid w:val="39237490"/>
    <w:rsid w:val="392B4CC2"/>
    <w:rsid w:val="39301A51"/>
    <w:rsid w:val="393D2C48"/>
    <w:rsid w:val="39445D84"/>
    <w:rsid w:val="3948754F"/>
    <w:rsid w:val="3949339B"/>
    <w:rsid w:val="394A2C6F"/>
    <w:rsid w:val="394C5990"/>
    <w:rsid w:val="394C69E7"/>
    <w:rsid w:val="394F0285"/>
    <w:rsid w:val="395F7DB3"/>
    <w:rsid w:val="39644E8A"/>
    <w:rsid w:val="396F26D5"/>
    <w:rsid w:val="39755F3E"/>
    <w:rsid w:val="39943A03"/>
    <w:rsid w:val="39B02D48"/>
    <w:rsid w:val="39B1408A"/>
    <w:rsid w:val="39B203A1"/>
    <w:rsid w:val="39B303A0"/>
    <w:rsid w:val="39BA544F"/>
    <w:rsid w:val="39BE47D4"/>
    <w:rsid w:val="39BE51FE"/>
    <w:rsid w:val="39D21271"/>
    <w:rsid w:val="39DB63A8"/>
    <w:rsid w:val="39DC5FBD"/>
    <w:rsid w:val="39F61F6E"/>
    <w:rsid w:val="39F74BA5"/>
    <w:rsid w:val="39F94DC1"/>
    <w:rsid w:val="39FB670F"/>
    <w:rsid w:val="3A0245B7"/>
    <w:rsid w:val="3A086DB2"/>
    <w:rsid w:val="3A10210A"/>
    <w:rsid w:val="3A1E65D5"/>
    <w:rsid w:val="3A3A5794"/>
    <w:rsid w:val="3A4678DA"/>
    <w:rsid w:val="3A4B4EF0"/>
    <w:rsid w:val="3A5622C2"/>
    <w:rsid w:val="3A5774FB"/>
    <w:rsid w:val="3A6B3AAC"/>
    <w:rsid w:val="3A6F5083"/>
    <w:rsid w:val="3A7A02A6"/>
    <w:rsid w:val="3A7A70F1"/>
    <w:rsid w:val="3A7B57D6"/>
    <w:rsid w:val="3A920D71"/>
    <w:rsid w:val="3A944AE9"/>
    <w:rsid w:val="3A954453"/>
    <w:rsid w:val="3A993EAE"/>
    <w:rsid w:val="3A9B19D4"/>
    <w:rsid w:val="3A9B5E78"/>
    <w:rsid w:val="3AA06FEA"/>
    <w:rsid w:val="3AA50B87"/>
    <w:rsid w:val="3AA52853"/>
    <w:rsid w:val="3AA60379"/>
    <w:rsid w:val="3AB2269E"/>
    <w:rsid w:val="3AB9131C"/>
    <w:rsid w:val="3AC1654B"/>
    <w:rsid w:val="3AC23405"/>
    <w:rsid w:val="3AC32CD9"/>
    <w:rsid w:val="3ACA4067"/>
    <w:rsid w:val="3AD43138"/>
    <w:rsid w:val="3AD512C6"/>
    <w:rsid w:val="3ADF38CB"/>
    <w:rsid w:val="3AE0243E"/>
    <w:rsid w:val="3B1219D1"/>
    <w:rsid w:val="3B17706B"/>
    <w:rsid w:val="3B181AA8"/>
    <w:rsid w:val="3B2714BA"/>
    <w:rsid w:val="3B3A4BF1"/>
    <w:rsid w:val="3B3D2A8B"/>
    <w:rsid w:val="3B3F2CA7"/>
    <w:rsid w:val="3B4756B8"/>
    <w:rsid w:val="3B4E2EEA"/>
    <w:rsid w:val="3B516536"/>
    <w:rsid w:val="3B7A5A8D"/>
    <w:rsid w:val="3B8A4892"/>
    <w:rsid w:val="3B8A5AD7"/>
    <w:rsid w:val="3B981708"/>
    <w:rsid w:val="3BA7084C"/>
    <w:rsid w:val="3BA96372"/>
    <w:rsid w:val="3BAF5AF0"/>
    <w:rsid w:val="3BB05953"/>
    <w:rsid w:val="3BB80364"/>
    <w:rsid w:val="3BC729A1"/>
    <w:rsid w:val="3BDD601C"/>
    <w:rsid w:val="3BE178BA"/>
    <w:rsid w:val="3BE473AB"/>
    <w:rsid w:val="3BF534C5"/>
    <w:rsid w:val="3BFD1854"/>
    <w:rsid w:val="3BFD221A"/>
    <w:rsid w:val="3BFE4802"/>
    <w:rsid w:val="3C0435A9"/>
    <w:rsid w:val="3C073099"/>
    <w:rsid w:val="3C0C6A1A"/>
    <w:rsid w:val="3C157564"/>
    <w:rsid w:val="3C1732DC"/>
    <w:rsid w:val="3C1A0A88"/>
    <w:rsid w:val="3C1F3894"/>
    <w:rsid w:val="3C277297"/>
    <w:rsid w:val="3C2854E9"/>
    <w:rsid w:val="3C29300F"/>
    <w:rsid w:val="3C2B322B"/>
    <w:rsid w:val="3C343766"/>
    <w:rsid w:val="3C3E2F5F"/>
    <w:rsid w:val="3C447E49"/>
    <w:rsid w:val="3C5067EE"/>
    <w:rsid w:val="3C5C33E5"/>
    <w:rsid w:val="3C5D51AA"/>
    <w:rsid w:val="3C5D7623"/>
    <w:rsid w:val="3C74452F"/>
    <w:rsid w:val="3C7626F9"/>
    <w:rsid w:val="3C8F29F6"/>
    <w:rsid w:val="3C9C7C85"/>
    <w:rsid w:val="3CA22844"/>
    <w:rsid w:val="3CA97EC6"/>
    <w:rsid w:val="3CAF5C0A"/>
    <w:rsid w:val="3CB23005"/>
    <w:rsid w:val="3CBC20D5"/>
    <w:rsid w:val="3CDB255C"/>
    <w:rsid w:val="3CE010E0"/>
    <w:rsid w:val="3CE60F00"/>
    <w:rsid w:val="3CE62E07"/>
    <w:rsid w:val="3CE83B32"/>
    <w:rsid w:val="3CF4186F"/>
    <w:rsid w:val="3CFB0E50"/>
    <w:rsid w:val="3D0520E6"/>
    <w:rsid w:val="3D11626E"/>
    <w:rsid w:val="3D163518"/>
    <w:rsid w:val="3D197A98"/>
    <w:rsid w:val="3D25483F"/>
    <w:rsid w:val="3D2F0AF9"/>
    <w:rsid w:val="3D4C31A4"/>
    <w:rsid w:val="3D51281E"/>
    <w:rsid w:val="3D546295"/>
    <w:rsid w:val="3D5A73D9"/>
    <w:rsid w:val="3D5B18EE"/>
    <w:rsid w:val="3D5F13DF"/>
    <w:rsid w:val="3D6C58AA"/>
    <w:rsid w:val="3D6D517E"/>
    <w:rsid w:val="3D74650C"/>
    <w:rsid w:val="3D78424E"/>
    <w:rsid w:val="3D7D5158"/>
    <w:rsid w:val="3D8F7DC5"/>
    <w:rsid w:val="3DA3269D"/>
    <w:rsid w:val="3DA45F92"/>
    <w:rsid w:val="3DBC05DF"/>
    <w:rsid w:val="3DC066C3"/>
    <w:rsid w:val="3DCC55BE"/>
    <w:rsid w:val="3DDF6D98"/>
    <w:rsid w:val="3DE85E9C"/>
    <w:rsid w:val="3DEE4511"/>
    <w:rsid w:val="3DF7160A"/>
    <w:rsid w:val="3E0B6E71"/>
    <w:rsid w:val="3E10092B"/>
    <w:rsid w:val="3E1A5306"/>
    <w:rsid w:val="3E23240C"/>
    <w:rsid w:val="3E301089"/>
    <w:rsid w:val="3E386294"/>
    <w:rsid w:val="3E394DF5"/>
    <w:rsid w:val="3E401B76"/>
    <w:rsid w:val="3E522CF1"/>
    <w:rsid w:val="3E5B6455"/>
    <w:rsid w:val="3E6A14E0"/>
    <w:rsid w:val="3E6A30FB"/>
    <w:rsid w:val="3E7964D0"/>
    <w:rsid w:val="3E7A2248"/>
    <w:rsid w:val="3E7F160D"/>
    <w:rsid w:val="3E7F3E91"/>
    <w:rsid w:val="3E834C59"/>
    <w:rsid w:val="3E9C6AC7"/>
    <w:rsid w:val="3EA472ED"/>
    <w:rsid w:val="3EBE702D"/>
    <w:rsid w:val="3EC139D3"/>
    <w:rsid w:val="3EC7548D"/>
    <w:rsid w:val="3ECA14CD"/>
    <w:rsid w:val="3ECC2AA4"/>
    <w:rsid w:val="3EDC6D05"/>
    <w:rsid w:val="3EDF328B"/>
    <w:rsid w:val="3EE45785"/>
    <w:rsid w:val="3EF01478"/>
    <w:rsid w:val="3F010273"/>
    <w:rsid w:val="3F025D19"/>
    <w:rsid w:val="3F0F15A0"/>
    <w:rsid w:val="3F175A58"/>
    <w:rsid w:val="3F185CE9"/>
    <w:rsid w:val="3F1B5F0C"/>
    <w:rsid w:val="3F2A6562"/>
    <w:rsid w:val="3F2C53D7"/>
    <w:rsid w:val="3F2E2014"/>
    <w:rsid w:val="3F310B59"/>
    <w:rsid w:val="3F3C5455"/>
    <w:rsid w:val="3F3F0701"/>
    <w:rsid w:val="3F400D9C"/>
    <w:rsid w:val="3F43263A"/>
    <w:rsid w:val="3F44347F"/>
    <w:rsid w:val="3F47600D"/>
    <w:rsid w:val="3F4A5777"/>
    <w:rsid w:val="3F5860E5"/>
    <w:rsid w:val="3F744EE9"/>
    <w:rsid w:val="3F7B0026"/>
    <w:rsid w:val="3F890995"/>
    <w:rsid w:val="3F8A0269"/>
    <w:rsid w:val="3FA330D9"/>
    <w:rsid w:val="3FA56E51"/>
    <w:rsid w:val="3FA94B93"/>
    <w:rsid w:val="3FB079AD"/>
    <w:rsid w:val="3FB10C6C"/>
    <w:rsid w:val="3FC413F5"/>
    <w:rsid w:val="3FCF2120"/>
    <w:rsid w:val="3FD37E62"/>
    <w:rsid w:val="3FE77469"/>
    <w:rsid w:val="3FF102E8"/>
    <w:rsid w:val="3FF1653A"/>
    <w:rsid w:val="3FFA0F4B"/>
    <w:rsid w:val="3FFD4C7F"/>
    <w:rsid w:val="3FFE50BE"/>
    <w:rsid w:val="4004001B"/>
    <w:rsid w:val="401044D8"/>
    <w:rsid w:val="401D732F"/>
    <w:rsid w:val="402406BD"/>
    <w:rsid w:val="40322C2A"/>
    <w:rsid w:val="40322DDA"/>
    <w:rsid w:val="40331AD1"/>
    <w:rsid w:val="403C77B5"/>
    <w:rsid w:val="40413F9B"/>
    <w:rsid w:val="404C42EC"/>
    <w:rsid w:val="405014B2"/>
    <w:rsid w:val="405C558A"/>
    <w:rsid w:val="40646FF5"/>
    <w:rsid w:val="406B009A"/>
    <w:rsid w:val="4081166C"/>
    <w:rsid w:val="40980F5A"/>
    <w:rsid w:val="409B285D"/>
    <w:rsid w:val="40A45DCB"/>
    <w:rsid w:val="40C31C84"/>
    <w:rsid w:val="40D07EFD"/>
    <w:rsid w:val="40E83499"/>
    <w:rsid w:val="40F76D9B"/>
    <w:rsid w:val="40F808A6"/>
    <w:rsid w:val="41026000"/>
    <w:rsid w:val="410909FB"/>
    <w:rsid w:val="410F6C78"/>
    <w:rsid w:val="41166258"/>
    <w:rsid w:val="411D22EE"/>
    <w:rsid w:val="41232504"/>
    <w:rsid w:val="413B181B"/>
    <w:rsid w:val="414F2AD7"/>
    <w:rsid w:val="41606DE8"/>
    <w:rsid w:val="41656898"/>
    <w:rsid w:val="417116E0"/>
    <w:rsid w:val="41744D2D"/>
    <w:rsid w:val="41751B51"/>
    <w:rsid w:val="41757046"/>
    <w:rsid w:val="4182569C"/>
    <w:rsid w:val="41847BE4"/>
    <w:rsid w:val="419453CF"/>
    <w:rsid w:val="419D0727"/>
    <w:rsid w:val="41A170DA"/>
    <w:rsid w:val="41A2189A"/>
    <w:rsid w:val="41A33431"/>
    <w:rsid w:val="41A33DD0"/>
    <w:rsid w:val="41A60113"/>
    <w:rsid w:val="41A76EB0"/>
    <w:rsid w:val="41BD63D6"/>
    <w:rsid w:val="41C724C5"/>
    <w:rsid w:val="41C81330"/>
    <w:rsid w:val="41CD50C5"/>
    <w:rsid w:val="41D47FAF"/>
    <w:rsid w:val="41D708E3"/>
    <w:rsid w:val="41E55808"/>
    <w:rsid w:val="41EB51CB"/>
    <w:rsid w:val="41F8770C"/>
    <w:rsid w:val="41FA16D6"/>
    <w:rsid w:val="4205007B"/>
    <w:rsid w:val="42070F19"/>
    <w:rsid w:val="42224789"/>
    <w:rsid w:val="424566C9"/>
    <w:rsid w:val="424A495F"/>
    <w:rsid w:val="426B6130"/>
    <w:rsid w:val="426D6C42"/>
    <w:rsid w:val="42764AD5"/>
    <w:rsid w:val="4278084D"/>
    <w:rsid w:val="427C799E"/>
    <w:rsid w:val="427F607F"/>
    <w:rsid w:val="428A2184"/>
    <w:rsid w:val="42A31D6D"/>
    <w:rsid w:val="42A950BB"/>
    <w:rsid w:val="42AC7A3A"/>
    <w:rsid w:val="42B07FE6"/>
    <w:rsid w:val="42B11788"/>
    <w:rsid w:val="42B87377"/>
    <w:rsid w:val="42BF46CD"/>
    <w:rsid w:val="42C17868"/>
    <w:rsid w:val="42C27D1A"/>
    <w:rsid w:val="42CB4E20"/>
    <w:rsid w:val="42D119D4"/>
    <w:rsid w:val="42D27F5D"/>
    <w:rsid w:val="42E14802"/>
    <w:rsid w:val="42E83C24"/>
    <w:rsid w:val="42FA5706"/>
    <w:rsid w:val="42FC76D0"/>
    <w:rsid w:val="4301462D"/>
    <w:rsid w:val="43016A94"/>
    <w:rsid w:val="430640AA"/>
    <w:rsid w:val="43087E22"/>
    <w:rsid w:val="430B346F"/>
    <w:rsid w:val="4312004C"/>
    <w:rsid w:val="43212240"/>
    <w:rsid w:val="43303E58"/>
    <w:rsid w:val="433230F1"/>
    <w:rsid w:val="433A3D54"/>
    <w:rsid w:val="43426264"/>
    <w:rsid w:val="43433F2B"/>
    <w:rsid w:val="436808C1"/>
    <w:rsid w:val="436B6571"/>
    <w:rsid w:val="437652FC"/>
    <w:rsid w:val="437E6337"/>
    <w:rsid w:val="43805C0B"/>
    <w:rsid w:val="438C0A54"/>
    <w:rsid w:val="438C2802"/>
    <w:rsid w:val="43AF5C05"/>
    <w:rsid w:val="43B14016"/>
    <w:rsid w:val="43C152E3"/>
    <w:rsid w:val="43D9531B"/>
    <w:rsid w:val="43E16C1C"/>
    <w:rsid w:val="43E75C8A"/>
    <w:rsid w:val="441A605F"/>
    <w:rsid w:val="441C4A00"/>
    <w:rsid w:val="44250560"/>
    <w:rsid w:val="4425082E"/>
    <w:rsid w:val="44380293"/>
    <w:rsid w:val="444012B7"/>
    <w:rsid w:val="444335A1"/>
    <w:rsid w:val="44563119"/>
    <w:rsid w:val="445B0426"/>
    <w:rsid w:val="44670B79"/>
    <w:rsid w:val="446B68BB"/>
    <w:rsid w:val="446F5D17"/>
    <w:rsid w:val="44727D5C"/>
    <w:rsid w:val="44782D86"/>
    <w:rsid w:val="447E4C9B"/>
    <w:rsid w:val="448259B3"/>
    <w:rsid w:val="44837C0F"/>
    <w:rsid w:val="44910013"/>
    <w:rsid w:val="449A0F4E"/>
    <w:rsid w:val="44A818BD"/>
    <w:rsid w:val="44AD0C81"/>
    <w:rsid w:val="44C77869"/>
    <w:rsid w:val="44DC50C3"/>
    <w:rsid w:val="44DE20E4"/>
    <w:rsid w:val="44E95A32"/>
    <w:rsid w:val="44E977E0"/>
    <w:rsid w:val="44EC0A9D"/>
    <w:rsid w:val="44F35239"/>
    <w:rsid w:val="44FC50BA"/>
    <w:rsid w:val="450B59A8"/>
    <w:rsid w:val="451023FC"/>
    <w:rsid w:val="45120AE5"/>
    <w:rsid w:val="451A5BEB"/>
    <w:rsid w:val="452627E2"/>
    <w:rsid w:val="45280308"/>
    <w:rsid w:val="45297DC0"/>
    <w:rsid w:val="4532120B"/>
    <w:rsid w:val="453B53FE"/>
    <w:rsid w:val="4545710C"/>
    <w:rsid w:val="455B4326"/>
    <w:rsid w:val="45605CF4"/>
    <w:rsid w:val="45612B75"/>
    <w:rsid w:val="45660E30"/>
    <w:rsid w:val="456652D4"/>
    <w:rsid w:val="457C3988"/>
    <w:rsid w:val="45813EBC"/>
    <w:rsid w:val="45821975"/>
    <w:rsid w:val="458505A5"/>
    <w:rsid w:val="458A3A0C"/>
    <w:rsid w:val="458F65D9"/>
    <w:rsid w:val="459C0CF6"/>
    <w:rsid w:val="459C1406"/>
    <w:rsid w:val="45A55DFD"/>
    <w:rsid w:val="45AF7005"/>
    <w:rsid w:val="45B44292"/>
    <w:rsid w:val="45B46040"/>
    <w:rsid w:val="45B55914"/>
    <w:rsid w:val="45BC23D1"/>
    <w:rsid w:val="45BD5181"/>
    <w:rsid w:val="45C51FFB"/>
    <w:rsid w:val="45C67E5B"/>
    <w:rsid w:val="45CC15DB"/>
    <w:rsid w:val="45DC10F2"/>
    <w:rsid w:val="45F621B4"/>
    <w:rsid w:val="45FB5A1D"/>
    <w:rsid w:val="46030B23"/>
    <w:rsid w:val="46072613"/>
    <w:rsid w:val="460D7F65"/>
    <w:rsid w:val="460F14C8"/>
    <w:rsid w:val="461C609F"/>
    <w:rsid w:val="461D1E37"/>
    <w:rsid w:val="46236D21"/>
    <w:rsid w:val="462907DC"/>
    <w:rsid w:val="46306FAC"/>
    <w:rsid w:val="46317690"/>
    <w:rsid w:val="46382A9F"/>
    <w:rsid w:val="46577BDE"/>
    <w:rsid w:val="465F5FAB"/>
    <w:rsid w:val="46601D24"/>
    <w:rsid w:val="46627EDC"/>
    <w:rsid w:val="466C2476"/>
    <w:rsid w:val="46717A8D"/>
    <w:rsid w:val="4678706D"/>
    <w:rsid w:val="46792F9C"/>
    <w:rsid w:val="468477C0"/>
    <w:rsid w:val="4689127A"/>
    <w:rsid w:val="46911EDD"/>
    <w:rsid w:val="469667F9"/>
    <w:rsid w:val="46966F93"/>
    <w:rsid w:val="469F5184"/>
    <w:rsid w:val="46A04C95"/>
    <w:rsid w:val="46A32C5C"/>
    <w:rsid w:val="46A55988"/>
    <w:rsid w:val="46A936CA"/>
    <w:rsid w:val="46AB6885"/>
    <w:rsid w:val="46AE6F33"/>
    <w:rsid w:val="46B43C28"/>
    <w:rsid w:val="46BA4C51"/>
    <w:rsid w:val="46BA6877"/>
    <w:rsid w:val="46C424F5"/>
    <w:rsid w:val="46D30747"/>
    <w:rsid w:val="46DF533E"/>
    <w:rsid w:val="46F661E4"/>
    <w:rsid w:val="47076D29"/>
    <w:rsid w:val="470923BB"/>
    <w:rsid w:val="471F5755"/>
    <w:rsid w:val="472745EF"/>
    <w:rsid w:val="473D3E13"/>
    <w:rsid w:val="474606F2"/>
    <w:rsid w:val="47503B46"/>
    <w:rsid w:val="47681002"/>
    <w:rsid w:val="477737C9"/>
    <w:rsid w:val="477E6905"/>
    <w:rsid w:val="478163EE"/>
    <w:rsid w:val="478A52AA"/>
    <w:rsid w:val="478F2AC1"/>
    <w:rsid w:val="478F50F9"/>
    <w:rsid w:val="47932D52"/>
    <w:rsid w:val="47A520E4"/>
    <w:rsid w:val="47A65E5C"/>
    <w:rsid w:val="47A72AF3"/>
    <w:rsid w:val="47A834ED"/>
    <w:rsid w:val="47AD69B3"/>
    <w:rsid w:val="47B16CDB"/>
    <w:rsid w:val="47B55E33"/>
    <w:rsid w:val="47B679CB"/>
    <w:rsid w:val="47C00CCC"/>
    <w:rsid w:val="47C36A0E"/>
    <w:rsid w:val="47DB5B06"/>
    <w:rsid w:val="47ED5839"/>
    <w:rsid w:val="480037BE"/>
    <w:rsid w:val="48052B82"/>
    <w:rsid w:val="480768FB"/>
    <w:rsid w:val="480C2163"/>
    <w:rsid w:val="482374AD"/>
    <w:rsid w:val="48325752"/>
    <w:rsid w:val="48376AB4"/>
    <w:rsid w:val="48387027"/>
    <w:rsid w:val="484A0EFF"/>
    <w:rsid w:val="484F3DFE"/>
    <w:rsid w:val="48600E1F"/>
    <w:rsid w:val="486024AF"/>
    <w:rsid w:val="486C081C"/>
    <w:rsid w:val="486E697A"/>
    <w:rsid w:val="48737288"/>
    <w:rsid w:val="48791239"/>
    <w:rsid w:val="488066AD"/>
    <w:rsid w:val="48893141"/>
    <w:rsid w:val="488F68F0"/>
    <w:rsid w:val="48A859DC"/>
    <w:rsid w:val="48AD0EC0"/>
    <w:rsid w:val="48B30830"/>
    <w:rsid w:val="48BE7A8D"/>
    <w:rsid w:val="48BF5E9C"/>
    <w:rsid w:val="48BF71D5"/>
    <w:rsid w:val="48C20A74"/>
    <w:rsid w:val="48CD4952"/>
    <w:rsid w:val="48D873DA"/>
    <w:rsid w:val="48E6263C"/>
    <w:rsid w:val="48EF5D3C"/>
    <w:rsid w:val="48F73C13"/>
    <w:rsid w:val="48F91741"/>
    <w:rsid w:val="48FB417C"/>
    <w:rsid w:val="48FD1AAC"/>
    <w:rsid w:val="4904108C"/>
    <w:rsid w:val="490B1629"/>
    <w:rsid w:val="49153299"/>
    <w:rsid w:val="491C63D6"/>
    <w:rsid w:val="49290AF3"/>
    <w:rsid w:val="492F6B0E"/>
    <w:rsid w:val="49301E81"/>
    <w:rsid w:val="49311755"/>
    <w:rsid w:val="493C0826"/>
    <w:rsid w:val="493C56DB"/>
    <w:rsid w:val="49411CFD"/>
    <w:rsid w:val="4941408E"/>
    <w:rsid w:val="49420E43"/>
    <w:rsid w:val="49463639"/>
    <w:rsid w:val="49473BF2"/>
    <w:rsid w:val="49515531"/>
    <w:rsid w:val="49520049"/>
    <w:rsid w:val="495913D8"/>
    <w:rsid w:val="495C67D2"/>
    <w:rsid w:val="49647484"/>
    <w:rsid w:val="496E4757"/>
    <w:rsid w:val="49706721"/>
    <w:rsid w:val="497B7864"/>
    <w:rsid w:val="49880361"/>
    <w:rsid w:val="498D1B3D"/>
    <w:rsid w:val="49951CE4"/>
    <w:rsid w:val="499E328F"/>
    <w:rsid w:val="49A91C62"/>
    <w:rsid w:val="49B20AE8"/>
    <w:rsid w:val="49B617FE"/>
    <w:rsid w:val="49BB5BEF"/>
    <w:rsid w:val="49BD71F0"/>
    <w:rsid w:val="49C24C5D"/>
    <w:rsid w:val="49D15412"/>
    <w:rsid w:val="49D9498F"/>
    <w:rsid w:val="49EA64D4"/>
    <w:rsid w:val="49EB4592"/>
    <w:rsid w:val="49EB7B56"/>
    <w:rsid w:val="49F509D5"/>
    <w:rsid w:val="4A007AA5"/>
    <w:rsid w:val="4A0761FF"/>
    <w:rsid w:val="4A0B3024"/>
    <w:rsid w:val="4A1C2EC0"/>
    <w:rsid w:val="4A253068"/>
    <w:rsid w:val="4A301A0D"/>
    <w:rsid w:val="4A313BB2"/>
    <w:rsid w:val="4A361719"/>
    <w:rsid w:val="4A421E6C"/>
    <w:rsid w:val="4A45370A"/>
    <w:rsid w:val="4A494271"/>
    <w:rsid w:val="4A52592B"/>
    <w:rsid w:val="4A525E27"/>
    <w:rsid w:val="4A5E47CC"/>
    <w:rsid w:val="4A6C7E73"/>
    <w:rsid w:val="4A6D4A0F"/>
    <w:rsid w:val="4A742241"/>
    <w:rsid w:val="4A7B35D0"/>
    <w:rsid w:val="4A871A4A"/>
    <w:rsid w:val="4A8A55C1"/>
    <w:rsid w:val="4A8E50D8"/>
    <w:rsid w:val="4A8F4985"/>
    <w:rsid w:val="4A9D5DE7"/>
    <w:rsid w:val="4AA03036"/>
    <w:rsid w:val="4AA76173"/>
    <w:rsid w:val="4AA77F21"/>
    <w:rsid w:val="4AA91EEB"/>
    <w:rsid w:val="4AB32D6A"/>
    <w:rsid w:val="4ACF0B51"/>
    <w:rsid w:val="4AD247A3"/>
    <w:rsid w:val="4AD351BA"/>
    <w:rsid w:val="4AD74D96"/>
    <w:rsid w:val="4AE41175"/>
    <w:rsid w:val="4AE50A49"/>
    <w:rsid w:val="4AF26936"/>
    <w:rsid w:val="4AF64A04"/>
    <w:rsid w:val="4AFA3514"/>
    <w:rsid w:val="4B0578AD"/>
    <w:rsid w:val="4B0E7FA0"/>
    <w:rsid w:val="4B133808"/>
    <w:rsid w:val="4B1728BA"/>
    <w:rsid w:val="4B196FAC"/>
    <w:rsid w:val="4B217CD3"/>
    <w:rsid w:val="4B26353C"/>
    <w:rsid w:val="4B2C7A5A"/>
    <w:rsid w:val="4B2E05DC"/>
    <w:rsid w:val="4B3612A5"/>
    <w:rsid w:val="4B413ED2"/>
    <w:rsid w:val="4B4154BA"/>
    <w:rsid w:val="4B427C4A"/>
    <w:rsid w:val="4B49547C"/>
    <w:rsid w:val="4B4E2A92"/>
    <w:rsid w:val="4B532637"/>
    <w:rsid w:val="4B6202EC"/>
    <w:rsid w:val="4B677993"/>
    <w:rsid w:val="4B7122DD"/>
    <w:rsid w:val="4B810772"/>
    <w:rsid w:val="4B814C16"/>
    <w:rsid w:val="4B83243B"/>
    <w:rsid w:val="4B8A4D97"/>
    <w:rsid w:val="4B8F7333"/>
    <w:rsid w:val="4B9304A5"/>
    <w:rsid w:val="4B9506C1"/>
    <w:rsid w:val="4BBB7306"/>
    <w:rsid w:val="4BBD5522"/>
    <w:rsid w:val="4BCC6435"/>
    <w:rsid w:val="4BCD39B7"/>
    <w:rsid w:val="4BDB3974"/>
    <w:rsid w:val="4BDC3BFA"/>
    <w:rsid w:val="4BE200B2"/>
    <w:rsid w:val="4BE96317"/>
    <w:rsid w:val="4BEB5150"/>
    <w:rsid w:val="4BEF6864"/>
    <w:rsid w:val="4BF929FE"/>
    <w:rsid w:val="4C0A0767"/>
    <w:rsid w:val="4C115F9A"/>
    <w:rsid w:val="4C12586E"/>
    <w:rsid w:val="4C1E442E"/>
    <w:rsid w:val="4C212F83"/>
    <w:rsid w:val="4C371778"/>
    <w:rsid w:val="4C3E2AF8"/>
    <w:rsid w:val="4C3E3632"/>
    <w:rsid w:val="4C527DBA"/>
    <w:rsid w:val="4C5F07E2"/>
    <w:rsid w:val="4C6065D9"/>
    <w:rsid w:val="4C6A4C70"/>
    <w:rsid w:val="4C7D3291"/>
    <w:rsid w:val="4C83051A"/>
    <w:rsid w:val="4C9B5EBF"/>
    <w:rsid w:val="4CAF3234"/>
    <w:rsid w:val="4CAF4949"/>
    <w:rsid w:val="4CB12664"/>
    <w:rsid w:val="4CB220BE"/>
    <w:rsid w:val="4CB335F4"/>
    <w:rsid w:val="4CB53B3B"/>
    <w:rsid w:val="4CBB198D"/>
    <w:rsid w:val="4CC528E0"/>
    <w:rsid w:val="4CC56D84"/>
    <w:rsid w:val="4CC91FAF"/>
    <w:rsid w:val="4CCC3C6F"/>
    <w:rsid w:val="4CD3324F"/>
    <w:rsid w:val="4CE24CF5"/>
    <w:rsid w:val="4CE40BE6"/>
    <w:rsid w:val="4CEE1C78"/>
    <w:rsid w:val="4CF60CEC"/>
    <w:rsid w:val="4D025585"/>
    <w:rsid w:val="4D027691"/>
    <w:rsid w:val="4D0553D3"/>
    <w:rsid w:val="4D071B6D"/>
    <w:rsid w:val="4D13189E"/>
    <w:rsid w:val="4D18191E"/>
    <w:rsid w:val="4D185106"/>
    <w:rsid w:val="4D267823"/>
    <w:rsid w:val="4D331F40"/>
    <w:rsid w:val="4D415416"/>
    <w:rsid w:val="4D491763"/>
    <w:rsid w:val="4D4A6024"/>
    <w:rsid w:val="4D522B59"/>
    <w:rsid w:val="4D5327CE"/>
    <w:rsid w:val="4D553C64"/>
    <w:rsid w:val="4D782049"/>
    <w:rsid w:val="4D7A36CB"/>
    <w:rsid w:val="4D7A3AA9"/>
    <w:rsid w:val="4D7D31BB"/>
    <w:rsid w:val="4D7F0CE1"/>
    <w:rsid w:val="4D840AE7"/>
    <w:rsid w:val="4D84574A"/>
    <w:rsid w:val="4D875DE8"/>
    <w:rsid w:val="4D8C33FE"/>
    <w:rsid w:val="4D981DA3"/>
    <w:rsid w:val="4D9C7AE5"/>
    <w:rsid w:val="4DBA7F6B"/>
    <w:rsid w:val="4DBC0187"/>
    <w:rsid w:val="4DBE1F23"/>
    <w:rsid w:val="4DC87875"/>
    <w:rsid w:val="4DCE1C69"/>
    <w:rsid w:val="4DD706DB"/>
    <w:rsid w:val="4DEF230B"/>
    <w:rsid w:val="4DF72F6D"/>
    <w:rsid w:val="4DFE755A"/>
    <w:rsid w:val="4E035DB6"/>
    <w:rsid w:val="4E037940"/>
    <w:rsid w:val="4E047438"/>
    <w:rsid w:val="4E0522C3"/>
    <w:rsid w:val="4E061402"/>
    <w:rsid w:val="4E121796"/>
    <w:rsid w:val="4E1753BE"/>
    <w:rsid w:val="4E1830C0"/>
    <w:rsid w:val="4E1A4EAE"/>
    <w:rsid w:val="4E1A6C5C"/>
    <w:rsid w:val="4E1B2E11"/>
    <w:rsid w:val="4E1C6E78"/>
    <w:rsid w:val="4E1E674C"/>
    <w:rsid w:val="4E314E82"/>
    <w:rsid w:val="4E361CE8"/>
    <w:rsid w:val="4E3715BC"/>
    <w:rsid w:val="4E451F2B"/>
    <w:rsid w:val="4E4F6AEA"/>
    <w:rsid w:val="4E6A373F"/>
    <w:rsid w:val="4E6C677C"/>
    <w:rsid w:val="4E6F0D56"/>
    <w:rsid w:val="4E7740AE"/>
    <w:rsid w:val="4E791BD4"/>
    <w:rsid w:val="4E7D7565"/>
    <w:rsid w:val="4E832A53"/>
    <w:rsid w:val="4E840BCC"/>
    <w:rsid w:val="4E8D1811"/>
    <w:rsid w:val="4E916F1E"/>
    <w:rsid w:val="4E976C62"/>
    <w:rsid w:val="4E9C3B15"/>
    <w:rsid w:val="4EA3285D"/>
    <w:rsid w:val="4EA56E6D"/>
    <w:rsid w:val="4EA84268"/>
    <w:rsid w:val="4EAB3DF3"/>
    <w:rsid w:val="4EB86BA1"/>
    <w:rsid w:val="4EC512BE"/>
    <w:rsid w:val="4ECC61A8"/>
    <w:rsid w:val="4EDC7CC9"/>
    <w:rsid w:val="4EDE78CC"/>
    <w:rsid w:val="4EE72FE2"/>
    <w:rsid w:val="4EEC684A"/>
    <w:rsid w:val="4EF17B3E"/>
    <w:rsid w:val="4EFD2805"/>
    <w:rsid w:val="4F0040A4"/>
    <w:rsid w:val="4F0C47F7"/>
    <w:rsid w:val="4F194886"/>
    <w:rsid w:val="4F1F277C"/>
    <w:rsid w:val="4F22401A"/>
    <w:rsid w:val="4F2A7373"/>
    <w:rsid w:val="4F2E7890"/>
    <w:rsid w:val="4F3976BC"/>
    <w:rsid w:val="4F3F6648"/>
    <w:rsid w:val="4F4246BC"/>
    <w:rsid w:val="4F425DDD"/>
    <w:rsid w:val="4F45049F"/>
    <w:rsid w:val="4F4917BA"/>
    <w:rsid w:val="4F54452F"/>
    <w:rsid w:val="4F55619D"/>
    <w:rsid w:val="4F680C31"/>
    <w:rsid w:val="4F73741B"/>
    <w:rsid w:val="4F7D74A2"/>
    <w:rsid w:val="4F8151E4"/>
    <w:rsid w:val="4FA26F09"/>
    <w:rsid w:val="4FA90297"/>
    <w:rsid w:val="4FB9254E"/>
    <w:rsid w:val="4FBC446F"/>
    <w:rsid w:val="4FC450D1"/>
    <w:rsid w:val="4FC75412"/>
    <w:rsid w:val="4FC77616"/>
    <w:rsid w:val="4FCC6EAF"/>
    <w:rsid w:val="4FCD667C"/>
    <w:rsid w:val="4FD23C92"/>
    <w:rsid w:val="4FD95020"/>
    <w:rsid w:val="4FDC68BF"/>
    <w:rsid w:val="4FE17A31"/>
    <w:rsid w:val="4FED6DF9"/>
    <w:rsid w:val="4FF63BB4"/>
    <w:rsid w:val="50110AFB"/>
    <w:rsid w:val="501F67AB"/>
    <w:rsid w:val="502F6AAF"/>
    <w:rsid w:val="503C110B"/>
    <w:rsid w:val="50414974"/>
    <w:rsid w:val="50536B47"/>
    <w:rsid w:val="50610B72"/>
    <w:rsid w:val="50632B3C"/>
    <w:rsid w:val="50707007"/>
    <w:rsid w:val="50847DC7"/>
    <w:rsid w:val="509B0528"/>
    <w:rsid w:val="50BC224C"/>
    <w:rsid w:val="50C51101"/>
    <w:rsid w:val="50D36E1A"/>
    <w:rsid w:val="50DB26D2"/>
    <w:rsid w:val="50E71AE5"/>
    <w:rsid w:val="50EA261E"/>
    <w:rsid w:val="50FC089B"/>
    <w:rsid w:val="51025EB1"/>
    <w:rsid w:val="5108044E"/>
    <w:rsid w:val="510C31D4"/>
    <w:rsid w:val="511E6A63"/>
    <w:rsid w:val="5124051D"/>
    <w:rsid w:val="512A18AC"/>
    <w:rsid w:val="51354AB9"/>
    <w:rsid w:val="513938DF"/>
    <w:rsid w:val="514209A3"/>
    <w:rsid w:val="5144296E"/>
    <w:rsid w:val="514F6A03"/>
    <w:rsid w:val="51595CED"/>
    <w:rsid w:val="51646B6C"/>
    <w:rsid w:val="5167665C"/>
    <w:rsid w:val="517069D7"/>
    <w:rsid w:val="517652F0"/>
    <w:rsid w:val="517B5C63"/>
    <w:rsid w:val="517D5E7F"/>
    <w:rsid w:val="51840FBC"/>
    <w:rsid w:val="518E5B19"/>
    <w:rsid w:val="51970E73"/>
    <w:rsid w:val="519C4558"/>
    <w:rsid w:val="519D3E2C"/>
    <w:rsid w:val="519F6632"/>
    <w:rsid w:val="51A74CAA"/>
    <w:rsid w:val="51B11685"/>
    <w:rsid w:val="51B178D7"/>
    <w:rsid w:val="51BF1456"/>
    <w:rsid w:val="51C4760A"/>
    <w:rsid w:val="51C8090E"/>
    <w:rsid w:val="51C92E73"/>
    <w:rsid w:val="51D478DF"/>
    <w:rsid w:val="51D830B6"/>
    <w:rsid w:val="51E732F9"/>
    <w:rsid w:val="51E97071"/>
    <w:rsid w:val="51F021AD"/>
    <w:rsid w:val="51F96C3B"/>
    <w:rsid w:val="52000723"/>
    <w:rsid w:val="52081BED"/>
    <w:rsid w:val="520B348B"/>
    <w:rsid w:val="520B5239"/>
    <w:rsid w:val="52187956"/>
    <w:rsid w:val="52195BA8"/>
    <w:rsid w:val="521C0775"/>
    <w:rsid w:val="521E4F39"/>
    <w:rsid w:val="52373BA7"/>
    <w:rsid w:val="5253098E"/>
    <w:rsid w:val="525647CE"/>
    <w:rsid w:val="525F10E1"/>
    <w:rsid w:val="527B4984"/>
    <w:rsid w:val="528261F1"/>
    <w:rsid w:val="52943481"/>
    <w:rsid w:val="52953EDE"/>
    <w:rsid w:val="529E24D9"/>
    <w:rsid w:val="52A5743C"/>
    <w:rsid w:val="52AF2850"/>
    <w:rsid w:val="52AF2E63"/>
    <w:rsid w:val="52B21C66"/>
    <w:rsid w:val="52CA0C50"/>
    <w:rsid w:val="52CF6267"/>
    <w:rsid w:val="52D65847"/>
    <w:rsid w:val="52E341B1"/>
    <w:rsid w:val="5302488E"/>
    <w:rsid w:val="53051E7D"/>
    <w:rsid w:val="53065A01"/>
    <w:rsid w:val="531A5978"/>
    <w:rsid w:val="53280B3B"/>
    <w:rsid w:val="53281E1B"/>
    <w:rsid w:val="532A16EF"/>
    <w:rsid w:val="532C3D4E"/>
    <w:rsid w:val="532E5683"/>
    <w:rsid w:val="533432B7"/>
    <w:rsid w:val="53410F7E"/>
    <w:rsid w:val="53530C46"/>
    <w:rsid w:val="53722FC9"/>
    <w:rsid w:val="53767F45"/>
    <w:rsid w:val="537961D3"/>
    <w:rsid w:val="537C15C3"/>
    <w:rsid w:val="53811BC0"/>
    <w:rsid w:val="53827989"/>
    <w:rsid w:val="53837051"/>
    <w:rsid w:val="5384752F"/>
    <w:rsid w:val="53937294"/>
    <w:rsid w:val="539B4BE0"/>
    <w:rsid w:val="539E4672"/>
    <w:rsid w:val="53A60401"/>
    <w:rsid w:val="53C2401E"/>
    <w:rsid w:val="53C25DCC"/>
    <w:rsid w:val="53E45D42"/>
    <w:rsid w:val="53E77541"/>
    <w:rsid w:val="53F1220D"/>
    <w:rsid w:val="53F30D5E"/>
    <w:rsid w:val="53FA58FF"/>
    <w:rsid w:val="540077F5"/>
    <w:rsid w:val="54071A30"/>
    <w:rsid w:val="540A6DA5"/>
    <w:rsid w:val="54106B37"/>
    <w:rsid w:val="54134879"/>
    <w:rsid w:val="54244526"/>
    <w:rsid w:val="542720D3"/>
    <w:rsid w:val="543C5B7E"/>
    <w:rsid w:val="543F741C"/>
    <w:rsid w:val="544467E1"/>
    <w:rsid w:val="544F3B03"/>
    <w:rsid w:val="5466257C"/>
    <w:rsid w:val="54662BFB"/>
    <w:rsid w:val="5470465A"/>
    <w:rsid w:val="54752A31"/>
    <w:rsid w:val="547A66A6"/>
    <w:rsid w:val="547A7151"/>
    <w:rsid w:val="548A4B3B"/>
    <w:rsid w:val="5498294F"/>
    <w:rsid w:val="549F610D"/>
    <w:rsid w:val="54A379AB"/>
    <w:rsid w:val="54A40068"/>
    <w:rsid w:val="54AA3506"/>
    <w:rsid w:val="54B0031A"/>
    <w:rsid w:val="54B8593E"/>
    <w:rsid w:val="54BF40B9"/>
    <w:rsid w:val="54C87412"/>
    <w:rsid w:val="54CB6F02"/>
    <w:rsid w:val="54D67D81"/>
    <w:rsid w:val="54EB4EAE"/>
    <w:rsid w:val="54F77CF7"/>
    <w:rsid w:val="54FC355F"/>
    <w:rsid w:val="55076432"/>
    <w:rsid w:val="550F3292"/>
    <w:rsid w:val="55142657"/>
    <w:rsid w:val="55217BFA"/>
    <w:rsid w:val="55450D4D"/>
    <w:rsid w:val="555534F8"/>
    <w:rsid w:val="555A00F0"/>
    <w:rsid w:val="55630EE8"/>
    <w:rsid w:val="55652EB2"/>
    <w:rsid w:val="55654C60"/>
    <w:rsid w:val="556709D9"/>
    <w:rsid w:val="556829A3"/>
    <w:rsid w:val="55821CB6"/>
    <w:rsid w:val="558275C0"/>
    <w:rsid w:val="558E2409"/>
    <w:rsid w:val="55957764"/>
    <w:rsid w:val="55985036"/>
    <w:rsid w:val="5598523A"/>
    <w:rsid w:val="55A41C2D"/>
    <w:rsid w:val="55AC6D33"/>
    <w:rsid w:val="55B33C1E"/>
    <w:rsid w:val="55BA31FE"/>
    <w:rsid w:val="55BE25C3"/>
    <w:rsid w:val="55C336FF"/>
    <w:rsid w:val="55CC2F32"/>
    <w:rsid w:val="55D43B94"/>
    <w:rsid w:val="55D643A0"/>
    <w:rsid w:val="55DB4F23"/>
    <w:rsid w:val="55DD513F"/>
    <w:rsid w:val="55EE11AC"/>
    <w:rsid w:val="55FA184D"/>
    <w:rsid w:val="55FD30EB"/>
    <w:rsid w:val="5604566B"/>
    <w:rsid w:val="560B28A1"/>
    <w:rsid w:val="561856BF"/>
    <w:rsid w:val="561B7A15"/>
    <w:rsid w:val="56220DA3"/>
    <w:rsid w:val="56486A5C"/>
    <w:rsid w:val="56521689"/>
    <w:rsid w:val="56530F5D"/>
    <w:rsid w:val="56551179"/>
    <w:rsid w:val="565A053D"/>
    <w:rsid w:val="565D1DDC"/>
    <w:rsid w:val="5677049F"/>
    <w:rsid w:val="56895348"/>
    <w:rsid w:val="568C3E99"/>
    <w:rsid w:val="5697709C"/>
    <w:rsid w:val="569E48CE"/>
    <w:rsid w:val="56A143BE"/>
    <w:rsid w:val="56AE4EB5"/>
    <w:rsid w:val="56AF6ADB"/>
    <w:rsid w:val="56D60F8B"/>
    <w:rsid w:val="56D9439F"/>
    <w:rsid w:val="56DA5827"/>
    <w:rsid w:val="56E16569"/>
    <w:rsid w:val="56E30533"/>
    <w:rsid w:val="56ED13B1"/>
    <w:rsid w:val="56F91B04"/>
    <w:rsid w:val="56FA705E"/>
    <w:rsid w:val="570010E5"/>
    <w:rsid w:val="57030BD5"/>
    <w:rsid w:val="57097973"/>
    <w:rsid w:val="571221B6"/>
    <w:rsid w:val="57144B90"/>
    <w:rsid w:val="571B7CCD"/>
    <w:rsid w:val="572B3C88"/>
    <w:rsid w:val="57327710"/>
    <w:rsid w:val="57391D34"/>
    <w:rsid w:val="573B4004"/>
    <w:rsid w:val="574B68E6"/>
    <w:rsid w:val="574C1D94"/>
    <w:rsid w:val="57517B92"/>
    <w:rsid w:val="575B0744"/>
    <w:rsid w:val="575E5102"/>
    <w:rsid w:val="57633422"/>
    <w:rsid w:val="57650F48"/>
    <w:rsid w:val="57672F12"/>
    <w:rsid w:val="57680A38"/>
    <w:rsid w:val="576D604E"/>
    <w:rsid w:val="57767099"/>
    <w:rsid w:val="57775431"/>
    <w:rsid w:val="578A1ED7"/>
    <w:rsid w:val="5794182D"/>
    <w:rsid w:val="5798756F"/>
    <w:rsid w:val="57993E68"/>
    <w:rsid w:val="579B705F"/>
    <w:rsid w:val="57A23F4A"/>
    <w:rsid w:val="57A67CD8"/>
    <w:rsid w:val="57AC4DC9"/>
    <w:rsid w:val="57B65C47"/>
    <w:rsid w:val="57C574C6"/>
    <w:rsid w:val="57CF6D09"/>
    <w:rsid w:val="57D50E26"/>
    <w:rsid w:val="57DC6EEA"/>
    <w:rsid w:val="57E722A5"/>
    <w:rsid w:val="57E97DCB"/>
    <w:rsid w:val="57F10A2D"/>
    <w:rsid w:val="58092458"/>
    <w:rsid w:val="58177FD0"/>
    <w:rsid w:val="581F37ED"/>
    <w:rsid w:val="582A4FD5"/>
    <w:rsid w:val="58335574"/>
    <w:rsid w:val="58421289"/>
    <w:rsid w:val="58496ABB"/>
    <w:rsid w:val="5851771E"/>
    <w:rsid w:val="58593060"/>
    <w:rsid w:val="585A2A77"/>
    <w:rsid w:val="588C1300"/>
    <w:rsid w:val="588D4BFA"/>
    <w:rsid w:val="588E2720"/>
    <w:rsid w:val="589F433E"/>
    <w:rsid w:val="58A27F7A"/>
    <w:rsid w:val="58AD0DF8"/>
    <w:rsid w:val="58AD704A"/>
    <w:rsid w:val="58B8480D"/>
    <w:rsid w:val="58B913A9"/>
    <w:rsid w:val="58C2777A"/>
    <w:rsid w:val="58CB74D0"/>
    <w:rsid w:val="58CD3ED2"/>
    <w:rsid w:val="58D0304B"/>
    <w:rsid w:val="58D26AB1"/>
    <w:rsid w:val="58DB4550"/>
    <w:rsid w:val="58E10AA2"/>
    <w:rsid w:val="58F1757A"/>
    <w:rsid w:val="58F76517"/>
    <w:rsid w:val="58FC1BC0"/>
    <w:rsid w:val="58FD3402"/>
    <w:rsid w:val="5900361E"/>
    <w:rsid w:val="590D7AE9"/>
    <w:rsid w:val="591801D8"/>
    <w:rsid w:val="591848B7"/>
    <w:rsid w:val="591E5852"/>
    <w:rsid w:val="593037D7"/>
    <w:rsid w:val="59343A85"/>
    <w:rsid w:val="59405D3E"/>
    <w:rsid w:val="59464DA9"/>
    <w:rsid w:val="594D25DB"/>
    <w:rsid w:val="595474C6"/>
    <w:rsid w:val="5958707F"/>
    <w:rsid w:val="59654A34"/>
    <w:rsid w:val="596D0588"/>
    <w:rsid w:val="596F4300"/>
    <w:rsid w:val="597D7BE8"/>
    <w:rsid w:val="59A0095D"/>
    <w:rsid w:val="59B12B9A"/>
    <w:rsid w:val="59B60181"/>
    <w:rsid w:val="59B75271"/>
    <w:rsid w:val="59BD32BD"/>
    <w:rsid w:val="59CA6505"/>
    <w:rsid w:val="59D625D1"/>
    <w:rsid w:val="59D7375C"/>
    <w:rsid w:val="59DB3743"/>
    <w:rsid w:val="59FD4B5C"/>
    <w:rsid w:val="5A07095A"/>
    <w:rsid w:val="5A1C7F24"/>
    <w:rsid w:val="5A24655C"/>
    <w:rsid w:val="5A24763D"/>
    <w:rsid w:val="5A2C79B8"/>
    <w:rsid w:val="5A32437D"/>
    <w:rsid w:val="5A4A60E9"/>
    <w:rsid w:val="5A4C4641"/>
    <w:rsid w:val="5A4F5EDF"/>
    <w:rsid w:val="5A5925F5"/>
    <w:rsid w:val="5A5A2FCC"/>
    <w:rsid w:val="5A5B4884"/>
    <w:rsid w:val="5A5D2AFD"/>
    <w:rsid w:val="5A626A8D"/>
    <w:rsid w:val="5A703F65"/>
    <w:rsid w:val="5A715E56"/>
    <w:rsid w:val="5A736072"/>
    <w:rsid w:val="5A81078E"/>
    <w:rsid w:val="5A821E11"/>
    <w:rsid w:val="5A8464C2"/>
    <w:rsid w:val="5A927142"/>
    <w:rsid w:val="5A95795B"/>
    <w:rsid w:val="5A9D30EE"/>
    <w:rsid w:val="5AB521E6"/>
    <w:rsid w:val="5ABC17C7"/>
    <w:rsid w:val="5ABC3575"/>
    <w:rsid w:val="5AC97A40"/>
    <w:rsid w:val="5ADF1011"/>
    <w:rsid w:val="5ADF3CFD"/>
    <w:rsid w:val="5AE6687E"/>
    <w:rsid w:val="5AEA284D"/>
    <w:rsid w:val="5AEB07F8"/>
    <w:rsid w:val="5AED7BD2"/>
    <w:rsid w:val="5B0171D9"/>
    <w:rsid w:val="5B0942E0"/>
    <w:rsid w:val="5B0E5560"/>
    <w:rsid w:val="5B12588A"/>
    <w:rsid w:val="5B13515F"/>
    <w:rsid w:val="5B155FF5"/>
    <w:rsid w:val="5B172EA1"/>
    <w:rsid w:val="5B284D5C"/>
    <w:rsid w:val="5B2E578D"/>
    <w:rsid w:val="5B4A6DC5"/>
    <w:rsid w:val="5B5C08B4"/>
    <w:rsid w:val="5B5C4D58"/>
    <w:rsid w:val="5B5F7073"/>
    <w:rsid w:val="5B664392"/>
    <w:rsid w:val="5B6D029D"/>
    <w:rsid w:val="5B765E19"/>
    <w:rsid w:val="5B7C71A8"/>
    <w:rsid w:val="5B885B4D"/>
    <w:rsid w:val="5B8D3163"/>
    <w:rsid w:val="5B962018"/>
    <w:rsid w:val="5B977B3E"/>
    <w:rsid w:val="5BA23571"/>
    <w:rsid w:val="5BAB2FDC"/>
    <w:rsid w:val="5BAD110F"/>
    <w:rsid w:val="5BBB382C"/>
    <w:rsid w:val="5BBC75A4"/>
    <w:rsid w:val="5BBD75FE"/>
    <w:rsid w:val="5BBE71ED"/>
    <w:rsid w:val="5BCD20F1"/>
    <w:rsid w:val="5BD33C24"/>
    <w:rsid w:val="5BE0565B"/>
    <w:rsid w:val="5BE663CF"/>
    <w:rsid w:val="5BED59B0"/>
    <w:rsid w:val="5BF800CF"/>
    <w:rsid w:val="5BFB3394"/>
    <w:rsid w:val="5C05719D"/>
    <w:rsid w:val="5C0C052C"/>
    <w:rsid w:val="5C0F331F"/>
    <w:rsid w:val="5C115B42"/>
    <w:rsid w:val="5C1318BA"/>
    <w:rsid w:val="5C180A77"/>
    <w:rsid w:val="5C1E7DFE"/>
    <w:rsid w:val="5C205D85"/>
    <w:rsid w:val="5C254CA2"/>
    <w:rsid w:val="5C291C91"/>
    <w:rsid w:val="5C3842C4"/>
    <w:rsid w:val="5C3846F3"/>
    <w:rsid w:val="5C3A55AA"/>
    <w:rsid w:val="5C3B64A8"/>
    <w:rsid w:val="5C403D31"/>
    <w:rsid w:val="5C5F7BBD"/>
    <w:rsid w:val="5C71038F"/>
    <w:rsid w:val="5C8207EE"/>
    <w:rsid w:val="5C844566"/>
    <w:rsid w:val="5C855BE8"/>
    <w:rsid w:val="5C8956D8"/>
    <w:rsid w:val="5C8A1451"/>
    <w:rsid w:val="5C904CB9"/>
    <w:rsid w:val="5C967DF5"/>
    <w:rsid w:val="5C9E400F"/>
    <w:rsid w:val="5C9F4EFC"/>
    <w:rsid w:val="5CAC13C7"/>
    <w:rsid w:val="5CB07109"/>
    <w:rsid w:val="5CB70498"/>
    <w:rsid w:val="5CC46711"/>
    <w:rsid w:val="5CC6692D"/>
    <w:rsid w:val="5CC84698"/>
    <w:rsid w:val="5CD526CC"/>
    <w:rsid w:val="5CDA4186"/>
    <w:rsid w:val="5CE739C0"/>
    <w:rsid w:val="5CEB1EEF"/>
    <w:rsid w:val="5CF36FF6"/>
    <w:rsid w:val="5CF74D38"/>
    <w:rsid w:val="5CFA06D7"/>
    <w:rsid w:val="5CFA4828"/>
    <w:rsid w:val="5CFC234E"/>
    <w:rsid w:val="5CFC3930"/>
    <w:rsid w:val="5CFD4FF4"/>
    <w:rsid w:val="5D015BB7"/>
    <w:rsid w:val="5D017965"/>
    <w:rsid w:val="5D046E3C"/>
    <w:rsid w:val="5D0E2082"/>
    <w:rsid w:val="5D19346E"/>
    <w:rsid w:val="5D1A27D4"/>
    <w:rsid w:val="5D1C479E"/>
    <w:rsid w:val="5D245401"/>
    <w:rsid w:val="5D276C9F"/>
    <w:rsid w:val="5D3513BC"/>
    <w:rsid w:val="5D395350"/>
    <w:rsid w:val="5D3E7E7C"/>
    <w:rsid w:val="5D3F66DF"/>
    <w:rsid w:val="5D4004D8"/>
    <w:rsid w:val="5D415FB3"/>
    <w:rsid w:val="5D4B6E32"/>
    <w:rsid w:val="5D543F38"/>
    <w:rsid w:val="5D5A52C7"/>
    <w:rsid w:val="5D5B7195"/>
    <w:rsid w:val="5D5C4B9B"/>
    <w:rsid w:val="5D605541"/>
    <w:rsid w:val="5D6541DD"/>
    <w:rsid w:val="5D746389"/>
    <w:rsid w:val="5D775E79"/>
    <w:rsid w:val="5D804D2D"/>
    <w:rsid w:val="5D8916BE"/>
    <w:rsid w:val="5D894520"/>
    <w:rsid w:val="5D8B5BD5"/>
    <w:rsid w:val="5D8D4624"/>
    <w:rsid w:val="5D92680F"/>
    <w:rsid w:val="5D9A3915"/>
    <w:rsid w:val="5D9E51B4"/>
    <w:rsid w:val="5DA87DE0"/>
    <w:rsid w:val="5DBE13B2"/>
    <w:rsid w:val="5DC310BE"/>
    <w:rsid w:val="5DC52F62"/>
    <w:rsid w:val="5DCF35BF"/>
    <w:rsid w:val="5DE0757A"/>
    <w:rsid w:val="5DE828D3"/>
    <w:rsid w:val="5DE84681"/>
    <w:rsid w:val="5DF317D2"/>
    <w:rsid w:val="5DF474C9"/>
    <w:rsid w:val="5DFA4E98"/>
    <w:rsid w:val="5E032F28"/>
    <w:rsid w:val="5E0664F2"/>
    <w:rsid w:val="5E0B441A"/>
    <w:rsid w:val="5E115985"/>
    <w:rsid w:val="5E127950"/>
    <w:rsid w:val="5E167440"/>
    <w:rsid w:val="5E2D4789"/>
    <w:rsid w:val="5E3A79F8"/>
    <w:rsid w:val="5E420235"/>
    <w:rsid w:val="5E547F68"/>
    <w:rsid w:val="5E5B12F6"/>
    <w:rsid w:val="5E677C9B"/>
    <w:rsid w:val="5E6C3504"/>
    <w:rsid w:val="5E710B1A"/>
    <w:rsid w:val="5E715233"/>
    <w:rsid w:val="5E916AC6"/>
    <w:rsid w:val="5E9860A7"/>
    <w:rsid w:val="5EA26F25"/>
    <w:rsid w:val="5EAF0FC5"/>
    <w:rsid w:val="5EBF1885"/>
    <w:rsid w:val="5EC622D1"/>
    <w:rsid w:val="5ECB4E7A"/>
    <w:rsid w:val="5ED30E8D"/>
    <w:rsid w:val="5EDD49E0"/>
    <w:rsid w:val="5EDD7F5D"/>
    <w:rsid w:val="5EDF7832"/>
    <w:rsid w:val="5EF3065B"/>
    <w:rsid w:val="5EF61A15"/>
    <w:rsid w:val="5F0A5168"/>
    <w:rsid w:val="5F13397F"/>
    <w:rsid w:val="5F144D9F"/>
    <w:rsid w:val="5F157D42"/>
    <w:rsid w:val="5F2416E8"/>
    <w:rsid w:val="5F2B0CC9"/>
    <w:rsid w:val="5F30008D"/>
    <w:rsid w:val="5F4B136B"/>
    <w:rsid w:val="5F532747"/>
    <w:rsid w:val="5F55367B"/>
    <w:rsid w:val="5F5D7390"/>
    <w:rsid w:val="5F5F0972"/>
    <w:rsid w:val="5F64242D"/>
    <w:rsid w:val="5F674188"/>
    <w:rsid w:val="5F6B7317"/>
    <w:rsid w:val="5F7C1C78"/>
    <w:rsid w:val="5F8605F5"/>
    <w:rsid w:val="5F89148E"/>
    <w:rsid w:val="5F8E3006"/>
    <w:rsid w:val="5F93686E"/>
    <w:rsid w:val="5F9B6D89"/>
    <w:rsid w:val="5F9E4C6A"/>
    <w:rsid w:val="5F9F5213"/>
    <w:rsid w:val="5FAA42E4"/>
    <w:rsid w:val="5FAD7930"/>
    <w:rsid w:val="5FB15018"/>
    <w:rsid w:val="5FB567E4"/>
    <w:rsid w:val="5FBC15BE"/>
    <w:rsid w:val="5FBE38EB"/>
    <w:rsid w:val="5FCC6511"/>
    <w:rsid w:val="5FD90725"/>
    <w:rsid w:val="5FE80968"/>
    <w:rsid w:val="5FE873D0"/>
    <w:rsid w:val="5FE96FE1"/>
    <w:rsid w:val="5FED0E4F"/>
    <w:rsid w:val="5FF4730D"/>
    <w:rsid w:val="5FF612D7"/>
    <w:rsid w:val="60031C46"/>
    <w:rsid w:val="600913DF"/>
    <w:rsid w:val="601654D5"/>
    <w:rsid w:val="601849F0"/>
    <w:rsid w:val="601C6864"/>
    <w:rsid w:val="602009D7"/>
    <w:rsid w:val="60206354"/>
    <w:rsid w:val="602D6CC3"/>
    <w:rsid w:val="60365B77"/>
    <w:rsid w:val="604638E0"/>
    <w:rsid w:val="6054424F"/>
    <w:rsid w:val="60675319"/>
    <w:rsid w:val="606E668F"/>
    <w:rsid w:val="6074044E"/>
    <w:rsid w:val="60813AD2"/>
    <w:rsid w:val="608C626D"/>
    <w:rsid w:val="60B13450"/>
    <w:rsid w:val="60B8658C"/>
    <w:rsid w:val="60C00EE5"/>
    <w:rsid w:val="60C23E1D"/>
    <w:rsid w:val="60CD17EC"/>
    <w:rsid w:val="60D13AF2"/>
    <w:rsid w:val="60D809DC"/>
    <w:rsid w:val="60F81675"/>
    <w:rsid w:val="60FC34E5"/>
    <w:rsid w:val="60FF065F"/>
    <w:rsid w:val="60FF41BB"/>
    <w:rsid w:val="610276B8"/>
    <w:rsid w:val="61031871"/>
    <w:rsid w:val="61043BDE"/>
    <w:rsid w:val="611759A9"/>
    <w:rsid w:val="6118702B"/>
    <w:rsid w:val="611C731A"/>
    <w:rsid w:val="61221713"/>
    <w:rsid w:val="61300F17"/>
    <w:rsid w:val="61303EBF"/>
    <w:rsid w:val="61306A6A"/>
    <w:rsid w:val="61334675"/>
    <w:rsid w:val="61355E2F"/>
    <w:rsid w:val="613C71BD"/>
    <w:rsid w:val="6142054C"/>
    <w:rsid w:val="61506C4E"/>
    <w:rsid w:val="615E4FAA"/>
    <w:rsid w:val="61665FE8"/>
    <w:rsid w:val="617050AC"/>
    <w:rsid w:val="617937F2"/>
    <w:rsid w:val="61827DCF"/>
    <w:rsid w:val="61856267"/>
    <w:rsid w:val="61863344"/>
    <w:rsid w:val="61946FF9"/>
    <w:rsid w:val="61954B1F"/>
    <w:rsid w:val="61970898"/>
    <w:rsid w:val="61A86601"/>
    <w:rsid w:val="61AA2779"/>
    <w:rsid w:val="61AB2103"/>
    <w:rsid w:val="61BA1455"/>
    <w:rsid w:val="61BC02FE"/>
    <w:rsid w:val="61C15914"/>
    <w:rsid w:val="61C3168D"/>
    <w:rsid w:val="61C33FBA"/>
    <w:rsid w:val="61C6117D"/>
    <w:rsid w:val="61C6283F"/>
    <w:rsid w:val="61CD250B"/>
    <w:rsid w:val="61CD42B9"/>
    <w:rsid w:val="61F47A98"/>
    <w:rsid w:val="61FB30C1"/>
    <w:rsid w:val="62061579"/>
    <w:rsid w:val="621A5025"/>
    <w:rsid w:val="621C2B4B"/>
    <w:rsid w:val="622A70E9"/>
    <w:rsid w:val="622C0CE3"/>
    <w:rsid w:val="62392916"/>
    <w:rsid w:val="623936FD"/>
    <w:rsid w:val="623E0D13"/>
    <w:rsid w:val="62410803"/>
    <w:rsid w:val="624A3B5C"/>
    <w:rsid w:val="624C78D4"/>
    <w:rsid w:val="624D71A8"/>
    <w:rsid w:val="624E0E8D"/>
    <w:rsid w:val="624E217C"/>
    <w:rsid w:val="62525071"/>
    <w:rsid w:val="625422E5"/>
    <w:rsid w:val="625B38C4"/>
    <w:rsid w:val="625D388F"/>
    <w:rsid w:val="625E3163"/>
    <w:rsid w:val="62711C4D"/>
    <w:rsid w:val="62825B4B"/>
    <w:rsid w:val="628C1A7E"/>
    <w:rsid w:val="62914AD2"/>
    <w:rsid w:val="62970C2B"/>
    <w:rsid w:val="629B7F14"/>
    <w:rsid w:val="62B15989"/>
    <w:rsid w:val="62B17737"/>
    <w:rsid w:val="62B65CA2"/>
    <w:rsid w:val="62C20355"/>
    <w:rsid w:val="62DA4EE0"/>
    <w:rsid w:val="62E3472B"/>
    <w:rsid w:val="62E572C3"/>
    <w:rsid w:val="62EC19DB"/>
    <w:rsid w:val="62EE5BFE"/>
    <w:rsid w:val="630E2DDB"/>
    <w:rsid w:val="630E6937"/>
    <w:rsid w:val="631101D6"/>
    <w:rsid w:val="6313504A"/>
    <w:rsid w:val="631A352E"/>
    <w:rsid w:val="631B1054"/>
    <w:rsid w:val="631F0B45"/>
    <w:rsid w:val="631F28F3"/>
    <w:rsid w:val="631F62D0"/>
    <w:rsid w:val="632443AD"/>
    <w:rsid w:val="63273E9D"/>
    <w:rsid w:val="632779F9"/>
    <w:rsid w:val="63281769"/>
    <w:rsid w:val="63293771"/>
    <w:rsid w:val="63310878"/>
    <w:rsid w:val="63343EC4"/>
    <w:rsid w:val="633E40F5"/>
    <w:rsid w:val="634467FD"/>
    <w:rsid w:val="63464323"/>
    <w:rsid w:val="63482C1C"/>
    <w:rsid w:val="634906E0"/>
    <w:rsid w:val="634B5A8B"/>
    <w:rsid w:val="635307EE"/>
    <w:rsid w:val="635D123E"/>
    <w:rsid w:val="63604CB9"/>
    <w:rsid w:val="63657691"/>
    <w:rsid w:val="636A2E3B"/>
    <w:rsid w:val="636C7575"/>
    <w:rsid w:val="637075F2"/>
    <w:rsid w:val="63775FB6"/>
    <w:rsid w:val="637B1AF3"/>
    <w:rsid w:val="6384309D"/>
    <w:rsid w:val="638766EA"/>
    <w:rsid w:val="638E1826"/>
    <w:rsid w:val="638E5CCA"/>
    <w:rsid w:val="6390559E"/>
    <w:rsid w:val="63972DD1"/>
    <w:rsid w:val="639826A5"/>
    <w:rsid w:val="63984453"/>
    <w:rsid w:val="63AB63EB"/>
    <w:rsid w:val="63AD6150"/>
    <w:rsid w:val="63AE3C76"/>
    <w:rsid w:val="63B53257"/>
    <w:rsid w:val="63BC6FD9"/>
    <w:rsid w:val="63BF7C32"/>
    <w:rsid w:val="63C560E9"/>
    <w:rsid w:val="63E2279B"/>
    <w:rsid w:val="63ED479F"/>
    <w:rsid w:val="64002526"/>
    <w:rsid w:val="6401024A"/>
    <w:rsid w:val="640308A6"/>
    <w:rsid w:val="64155AA4"/>
    <w:rsid w:val="64185B46"/>
    <w:rsid w:val="641A130C"/>
    <w:rsid w:val="64246991"/>
    <w:rsid w:val="643423CE"/>
    <w:rsid w:val="64392B34"/>
    <w:rsid w:val="64503516"/>
    <w:rsid w:val="645919C6"/>
    <w:rsid w:val="645946AB"/>
    <w:rsid w:val="64696AA3"/>
    <w:rsid w:val="646F3406"/>
    <w:rsid w:val="64713622"/>
    <w:rsid w:val="64740A1C"/>
    <w:rsid w:val="648C220A"/>
    <w:rsid w:val="64917309"/>
    <w:rsid w:val="64942E6C"/>
    <w:rsid w:val="6497295D"/>
    <w:rsid w:val="64994927"/>
    <w:rsid w:val="64A532CB"/>
    <w:rsid w:val="64A55079"/>
    <w:rsid w:val="64A608BE"/>
    <w:rsid w:val="64AC1C20"/>
    <w:rsid w:val="64AF5EF8"/>
    <w:rsid w:val="64B00C46"/>
    <w:rsid w:val="64B15D39"/>
    <w:rsid w:val="64B27796"/>
    <w:rsid w:val="64B57D27"/>
    <w:rsid w:val="64C44459"/>
    <w:rsid w:val="64DD4813"/>
    <w:rsid w:val="64E260A6"/>
    <w:rsid w:val="64EC0EFA"/>
    <w:rsid w:val="64F44BA8"/>
    <w:rsid w:val="64F47DAF"/>
    <w:rsid w:val="64F563D7"/>
    <w:rsid w:val="64FD1CB9"/>
    <w:rsid w:val="65014A37"/>
    <w:rsid w:val="651D10B4"/>
    <w:rsid w:val="652F2BDF"/>
    <w:rsid w:val="653137E4"/>
    <w:rsid w:val="65557C61"/>
    <w:rsid w:val="656F755B"/>
    <w:rsid w:val="65752C9E"/>
    <w:rsid w:val="659155FE"/>
    <w:rsid w:val="65953340"/>
    <w:rsid w:val="65982E30"/>
    <w:rsid w:val="659E0FB3"/>
    <w:rsid w:val="659F5F6D"/>
    <w:rsid w:val="65A672FB"/>
    <w:rsid w:val="65B01F28"/>
    <w:rsid w:val="65BF216B"/>
    <w:rsid w:val="65C14ED8"/>
    <w:rsid w:val="65CA1CFB"/>
    <w:rsid w:val="65CB6D62"/>
    <w:rsid w:val="65CE23AE"/>
    <w:rsid w:val="65CE2E54"/>
    <w:rsid w:val="65DA6FA5"/>
    <w:rsid w:val="65DF6369"/>
    <w:rsid w:val="65E03897"/>
    <w:rsid w:val="65F04A1A"/>
    <w:rsid w:val="65F61237"/>
    <w:rsid w:val="65FB7547"/>
    <w:rsid w:val="65FE2039"/>
    <w:rsid w:val="66057311"/>
    <w:rsid w:val="660B42BE"/>
    <w:rsid w:val="661E0CF7"/>
    <w:rsid w:val="6633066D"/>
    <w:rsid w:val="66383EBB"/>
    <w:rsid w:val="663B6394"/>
    <w:rsid w:val="663E5786"/>
    <w:rsid w:val="663E7534"/>
    <w:rsid w:val="663F505A"/>
    <w:rsid w:val="66400C3A"/>
    <w:rsid w:val="664A412A"/>
    <w:rsid w:val="665B6338"/>
    <w:rsid w:val="665B6983"/>
    <w:rsid w:val="665E1984"/>
    <w:rsid w:val="665E7BD6"/>
    <w:rsid w:val="666A657B"/>
    <w:rsid w:val="668C4743"/>
    <w:rsid w:val="66925AD1"/>
    <w:rsid w:val="66A7157D"/>
    <w:rsid w:val="66AF0431"/>
    <w:rsid w:val="66B176FD"/>
    <w:rsid w:val="66BC40A7"/>
    <w:rsid w:val="66BE7A8F"/>
    <w:rsid w:val="66C34CD3"/>
    <w:rsid w:val="66E0683D"/>
    <w:rsid w:val="66E73230"/>
    <w:rsid w:val="66F916AD"/>
    <w:rsid w:val="67000C8D"/>
    <w:rsid w:val="67050051"/>
    <w:rsid w:val="67090898"/>
    <w:rsid w:val="670C13E0"/>
    <w:rsid w:val="670E6FEF"/>
    <w:rsid w:val="671037C1"/>
    <w:rsid w:val="67184229"/>
    <w:rsid w:val="67185FD7"/>
    <w:rsid w:val="671C2162"/>
    <w:rsid w:val="671E1113"/>
    <w:rsid w:val="672D1422"/>
    <w:rsid w:val="672E75A8"/>
    <w:rsid w:val="67310E46"/>
    <w:rsid w:val="67363980"/>
    <w:rsid w:val="673D5826"/>
    <w:rsid w:val="67440D21"/>
    <w:rsid w:val="674C4DEE"/>
    <w:rsid w:val="674E0FD0"/>
    <w:rsid w:val="675308E1"/>
    <w:rsid w:val="67540EF7"/>
    <w:rsid w:val="675C4C43"/>
    <w:rsid w:val="6760172C"/>
    <w:rsid w:val="67660922"/>
    <w:rsid w:val="676C1E7F"/>
    <w:rsid w:val="6784366C"/>
    <w:rsid w:val="678A7131"/>
    <w:rsid w:val="6793326D"/>
    <w:rsid w:val="67966809"/>
    <w:rsid w:val="67AA29A7"/>
    <w:rsid w:val="67AC4971"/>
    <w:rsid w:val="67B97561"/>
    <w:rsid w:val="67C72F40"/>
    <w:rsid w:val="67CC5D59"/>
    <w:rsid w:val="67E342A5"/>
    <w:rsid w:val="67E45EB9"/>
    <w:rsid w:val="67E759A9"/>
    <w:rsid w:val="67E934CF"/>
    <w:rsid w:val="67EC2FBF"/>
    <w:rsid w:val="67EE0AC3"/>
    <w:rsid w:val="67F3434E"/>
    <w:rsid w:val="67FE724E"/>
    <w:rsid w:val="68016A6B"/>
    <w:rsid w:val="68027301"/>
    <w:rsid w:val="68060525"/>
    <w:rsid w:val="680D3662"/>
    <w:rsid w:val="682C160E"/>
    <w:rsid w:val="68376930"/>
    <w:rsid w:val="683D381B"/>
    <w:rsid w:val="684A6664"/>
    <w:rsid w:val="684B5F38"/>
    <w:rsid w:val="68587300"/>
    <w:rsid w:val="68602208"/>
    <w:rsid w:val="68646FFA"/>
    <w:rsid w:val="687436E1"/>
    <w:rsid w:val="6875624B"/>
    <w:rsid w:val="687E0B86"/>
    <w:rsid w:val="68807719"/>
    <w:rsid w:val="68833924"/>
    <w:rsid w:val="68914293"/>
    <w:rsid w:val="68917E5B"/>
    <w:rsid w:val="689478DF"/>
    <w:rsid w:val="689C2C37"/>
    <w:rsid w:val="689C6793"/>
    <w:rsid w:val="68AB4C28"/>
    <w:rsid w:val="68B03FED"/>
    <w:rsid w:val="68B24209"/>
    <w:rsid w:val="68B53717"/>
    <w:rsid w:val="68B57855"/>
    <w:rsid w:val="68B7607E"/>
    <w:rsid w:val="68BD17A6"/>
    <w:rsid w:val="68C1269E"/>
    <w:rsid w:val="68C968D5"/>
    <w:rsid w:val="68CB0E27"/>
    <w:rsid w:val="68CE7E1E"/>
    <w:rsid w:val="68D35147"/>
    <w:rsid w:val="68DB3760"/>
    <w:rsid w:val="68E02592"/>
    <w:rsid w:val="68E92CE4"/>
    <w:rsid w:val="68F20AA9"/>
    <w:rsid w:val="690069D6"/>
    <w:rsid w:val="690305C1"/>
    <w:rsid w:val="690D143F"/>
    <w:rsid w:val="690F7F4A"/>
    <w:rsid w:val="69123026"/>
    <w:rsid w:val="69140A20"/>
    <w:rsid w:val="69146C72"/>
    <w:rsid w:val="691722BE"/>
    <w:rsid w:val="691B2548"/>
    <w:rsid w:val="69252C2D"/>
    <w:rsid w:val="693925CC"/>
    <w:rsid w:val="69482477"/>
    <w:rsid w:val="694D7A8E"/>
    <w:rsid w:val="694E1928"/>
    <w:rsid w:val="694F3806"/>
    <w:rsid w:val="69586875"/>
    <w:rsid w:val="696A5E74"/>
    <w:rsid w:val="696E627E"/>
    <w:rsid w:val="69735746"/>
    <w:rsid w:val="697949DC"/>
    <w:rsid w:val="697F058F"/>
    <w:rsid w:val="69854EF8"/>
    <w:rsid w:val="69872FA0"/>
    <w:rsid w:val="69B12712"/>
    <w:rsid w:val="69B63885"/>
    <w:rsid w:val="69B95123"/>
    <w:rsid w:val="69C42446"/>
    <w:rsid w:val="69CB543E"/>
    <w:rsid w:val="69D1246D"/>
    <w:rsid w:val="69D32689"/>
    <w:rsid w:val="69DA57C5"/>
    <w:rsid w:val="69DD108A"/>
    <w:rsid w:val="69DD52B6"/>
    <w:rsid w:val="69E10810"/>
    <w:rsid w:val="69E20B1E"/>
    <w:rsid w:val="69E232F9"/>
    <w:rsid w:val="69E43118"/>
    <w:rsid w:val="69E75C0C"/>
    <w:rsid w:val="69E76134"/>
    <w:rsid w:val="69EE74C3"/>
    <w:rsid w:val="69F0447D"/>
    <w:rsid w:val="69F83E9D"/>
    <w:rsid w:val="69FD7EEA"/>
    <w:rsid w:val="6A022F6E"/>
    <w:rsid w:val="6A130CD7"/>
    <w:rsid w:val="6A164324"/>
    <w:rsid w:val="6A1F63AC"/>
    <w:rsid w:val="6A384ADA"/>
    <w:rsid w:val="6A462161"/>
    <w:rsid w:val="6A5104FE"/>
    <w:rsid w:val="6A5A4B58"/>
    <w:rsid w:val="6A5E63F6"/>
    <w:rsid w:val="6A632B5C"/>
    <w:rsid w:val="6A6719F5"/>
    <w:rsid w:val="6A744D92"/>
    <w:rsid w:val="6A845731"/>
    <w:rsid w:val="6A8614A9"/>
    <w:rsid w:val="6A933BC6"/>
    <w:rsid w:val="6A9A31A7"/>
    <w:rsid w:val="6AA560DB"/>
    <w:rsid w:val="6AA81420"/>
    <w:rsid w:val="6AAE4730"/>
    <w:rsid w:val="6AB2229E"/>
    <w:rsid w:val="6AB44268"/>
    <w:rsid w:val="6ABC136F"/>
    <w:rsid w:val="6AC33CDC"/>
    <w:rsid w:val="6AC52C03"/>
    <w:rsid w:val="6AD22940"/>
    <w:rsid w:val="6AD466B8"/>
    <w:rsid w:val="6AD77F57"/>
    <w:rsid w:val="6AE0256E"/>
    <w:rsid w:val="6AED04AA"/>
    <w:rsid w:val="6AF808CF"/>
    <w:rsid w:val="6AFE1987"/>
    <w:rsid w:val="6B040620"/>
    <w:rsid w:val="6B144D07"/>
    <w:rsid w:val="6B170353"/>
    <w:rsid w:val="6B2807B2"/>
    <w:rsid w:val="6B2967FF"/>
    <w:rsid w:val="6B2A452A"/>
    <w:rsid w:val="6B2B4BA1"/>
    <w:rsid w:val="6B301415"/>
    <w:rsid w:val="6B4E64CF"/>
    <w:rsid w:val="6B5B0B88"/>
    <w:rsid w:val="6B633598"/>
    <w:rsid w:val="6B637A3C"/>
    <w:rsid w:val="6B71341D"/>
    <w:rsid w:val="6B726B07"/>
    <w:rsid w:val="6B7B4D86"/>
    <w:rsid w:val="6B7E0BAA"/>
    <w:rsid w:val="6B7E6624"/>
    <w:rsid w:val="6B8719CA"/>
    <w:rsid w:val="6B924EE4"/>
    <w:rsid w:val="6B9E3FB5"/>
    <w:rsid w:val="6BA76C23"/>
    <w:rsid w:val="6BAD2BA8"/>
    <w:rsid w:val="6BAE0CB8"/>
    <w:rsid w:val="6BAE6F0A"/>
    <w:rsid w:val="6BB12556"/>
    <w:rsid w:val="6BB169FA"/>
    <w:rsid w:val="6BBA6E4B"/>
    <w:rsid w:val="6BBD0EFB"/>
    <w:rsid w:val="6BCF04EF"/>
    <w:rsid w:val="6BD77D3D"/>
    <w:rsid w:val="6BDA1CC5"/>
    <w:rsid w:val="6BE60881"/>
    <w:rsid w:val="6BE7241B"/>
    <w:rsid w:val="6BE7474E"/>
    <w:rsid w:val="6BFB5EC7"/>
    <w:rsid w:val="6BFD1C3F"/>
    <w:rsid w:val="6C16685D"/>
    <w:rsid w:val="6C1B20C5"/>
    <w:rsid w:val="6C1F3963"/>
    <w:rsid w:val="6C205DBB"/>
    <w:rsid w:val="6C2608D9"/>
    <w:rsid w:val="6C2F0661"/>
    <w:rsid w:val="6C3111D4"/>
    <w:rsid w:val="6C3C4515"/>
    <w:rsid w:val="6C3E228B"/>
    <w:rsid w:val="6C3F5DB4"/>
    <w:rsid w:val="6C4038DA"/>
    <w:rsid w:val="6C450BD7"/>
    <w:rsid w:val="6C467142"/>
    <w:rsid w:val="6C5E62E5"/>
    <w:rsid w:val="6C63616D"/>
    <w:rsid w:val="6C717E3E"/>
    <w:rsid w:val="6C753F3A"/>
    <w:rsid w:val="6C773A8C"/>
    <w:rsid w:val="6C830396"/>
    <w:rsid w:val="6C8859AD"/>
    <w:rsid w:val="6C891725"/>
    <w:rsid w:val="6C8E2C3C"/>
    <w:rsid w:val="6C944351"/>
    <w:rsid w:val="6CA70F93"/>
    <w:rsid w:val="6CB57E24"/>
    <w:rsid w:val="6CCD1611"/>
    <w:rsid w:val="6CD504C6"/>
    <w:rsid w:val="6CE07597"/>
    <w:rsid w:val="6CE626D3"/>
    <w:rsid w:val="6CE94E1E"/>
    <w:rsid w:val="6CE95332"/>
    <w:rsid w:val="6D036DE1"/>
    <w:rsid w:val="6D0A3F73"/>
    <w:rsid w:val="6D0E5786"/>
    <w:rsid w:val="6D1234C8"/>
    <w:rsid w:val="6D140FEE"/>
    <w:rsid w:val="6D205BE5"/>
    <w:rsid w:val="6D2D20B0"/>
    <w:rsid w:val="6D340BE2"/>
    <w:rsid w:val="6D372F2F"/>
    <w:rsid w:val="6D423DCE"/>
    <w:rsid w:val="6D725D15"/>
    <w:rsid w:val="6D735272"/>
    <w:rsid w:val="6D8343C6"/>
    <w:rsid w:val="6D851C5B"/>
    <w:rsid w:val="6D852097"/>
    <w:rsid w:val="6DA2233C"/>
    <w:rsid w:val="6DAD31F1"/>
    <w:rsid w:val="6DB36A59"/>
    <w:rsid w:val="6DE44E65"/>
    <w:rsid w:val="6DE54FF8"/>
    <w:rsid w:val="6DE85FD7"/>
    <w:rsid w:val="6DEA6E73"/>
    <w:rsid w:val="6DF90E3D"/>
    <w:rsid w:val="6E034F06"/>
    <w:rsid w:val="6E0409A2"/>
    <w:rsid w:val="6E056B89"/>
    <w:rsid w:val="6E143718"/>
    <w:rsid w:val="6E1B015A"/>
    <w:rsid w:val="6E2A65EF"/>
    <w:rsid w:val="6E2F011A"/>
    <w:rsid w:val="6E3525C2"/>
    <w:rsid w:val="6E380F7E"/>
    <w:rsid w:val="6E384712"/>
    <w:rsid w:val="6E3C2D80"/>
    <w:rsid w:val="6E4476B1"/>
    <w:rsid w:val="6E4C0C5C"/>
    <w:rsid w:val="6E535B46"/>
    <w:rsid w:val="6E5C0E9F"/>
    <w:rsid w:val="6E5C7EE7"/>
    <w:rsid w:val="6E5F098F"/>
    <w:rsid w:val="6E692661"/>
    <w:rsid w:val="6E69536A"/>
    <w:rsid w:val="6E7B6E4B"/>
    <w:rsid w:val="6E804461"/>
    <w:rsid w:val="6E934195"/>
    <w:rsid w:val="6EA2087C"/>
    <w:rsid w:val="6EA63EC8"/>
    <w:rsid w:val="6ED911FA"/>
    <w:rsid w:val="6EDA6267"/>
    <w:rsid w:val="6EDB5099"/>
    <w:rsid w:val="6EE60768"/>
    <w:rsid w:val="6EEB5D7F"/>
    <w:rsid w:val="6EF410D7"/>
    <w:rsid w:val="6F120D5B"/>
    <w:rsid w:val="6F151990"/>
    <w:rsid w:val="6F153A4F"/>
    <w:rsid w:val="6F1F1E36"/>
    <w:rsid w:val="6F23376B"/>
    <w:rsid w:val="6F29606F"/>
    <w:rsid w:val="6F2968A7"/>
    <w:rsid w:val="6F2B6AC3"/>
    <w:rsid w:val="6F3516F0"/>
    <w:rsid w:val="6F35524C"/>
    <w:rsid w:val="6F365459"/>
    <w:rsid w:val="6F3E67F6"/>
    <w:rsid w:val="6F435BBB"/>
    <w:rsid w:val="6F4B0F13"/>
    <w:rsid w:val="6F543924"/>
    <w:rsid w:val="6F5576F5"/>
    <w:rsid w:val="6F5778B8"/>
    <w:rsid w:val="6F593630"/>
    <w:rsid w:val="6F5A489D"/>
    <w:rsid w:val="6F616041"/>
    <w:rsid w:val="6F6618A9"/>
    <w:rsid w:val="6F683873"/>
    <w:rsid w:val="6F6873CF"/>
    <w:rsid w:val="6F7044D6"/>
    <w:rsid w:val="6F781CD0"/>
    <w:rsid w:val="6F80296B"/>
    <w:rsid w:val="6F863CF9"/>
    <w:rsid w:val="6F9806A6"/>
    <w:rsid w:val="6F9D176F"/>
    <w:rsid w:val="6FA26D85"/>
    <w:rsid w:val="6FA42FFA"/>
    <w:rsid w:val="6FAC19A5"/>
    <w:rsid w:val="6FAC19B2"/>
    <w:rsid w:val="6FBC771B"/>
    <w:rsid w:val="6FCD0A93"/>
    <w:rsid w:val="6FD35191"/>
    <w:rsid w:val="6FF375E1"/>
    <w:rsid w:val="6FF46EB5"/>
    <w:rsid w:val="6FF60E7F"/>
    <w:rsid w:val="7003534A"/>
    <w:rsid w:val="700D7F77"/>
    <w:rsid w:val="70117A67"/>
    <w:rsid w:val="7013690C"/>
    <w:rsid w:val="70180DF5"/>
    <w:rsid w:val="70181AA7"/>
    <w:rsid w:val="702130A9"/>
    <w:rsid w:val="703579A2"/>
    <w:rsid w:val="703A6FBE"/>
    <w:rsid w:val="70433998"/>
    <w:rsid w:val="70451ADA"/>
    <w:rsid w:val="704D257C"/>
    <w:rsid w:val="704E2A69"/>
    <w:rsid w:val="7060454A"/>
    <w:rsid w:val="7062117A"/>
    <w:rsid w:val="7064376F"/>
    <w:rsid w:val="70723CA2"/>
    <w:rsid w:val="7076459B"/>
    <w:rsid w:val="708E730A"/>
    <w:rsid w:val="70955A6B"/>
    <w:rsid w:val="709F1517"/>
    <w:rsid w:val="70AB3A18"/>
    <w:rsid w:val="70B34CA4"/>
    <w:rsid w:val="70B7060E"/>
    <w:rsid w:val="70B85E7F"/>
    <w:rsid w:val="70BA46A0"/>
    <w:rsid w:val="70C82A0E"/>
    <w:rsid w:val="70D223E8"/>
    <w:rsid w:val="70D311C0"/>
    <w:rsid w:val="70D564D6"/>
    <w:rsid w:val="70D867D7"/>
    <w:rsid w:val="70E76136"/>
    <w:rsid w:val="70F87D04"/>
    <w:rsid w:val="7105607D"/>
    <w:rsid w:val="71062759"/>
    <w:rsid w:val="71095230"/>
    <w:rsid w:val="71193077"/>
    <w:rsid w:val="711D243B"/>
    <w:rsid w:val="7120072C"/>
    <w:rsid w:val="7121017E"/>
    <w:rsid w:val="712E63F7"/>
    <w:rsid w:val="713752AB"/>
    <w:rsid w:val="713B3EA8"/>
    <w:rsid w:val="714D4ACF"/>
    <w:rsid w:val="715F4B14"/>
    <w:rsid w:val="716671E2"/>
    <w:rsid w:val="716A5681"/>
    <w:rsid w:val="716D33C3"/>
    <w:rsid w:val="716F0EE9"/>
    <w:rsid w:val="717B77BB"/>
    <w:rsid w:val="71803F06"/>
    <w:rsid w:val="71805148"/>
    <w:rsid w:val="7185070D"/>
    <w:rsid w:val="718D2089"/>
    <w:rsid w:val="718F158B"/>
    <w:rsid w:val="719721EE"/>
    <w:rsid w:val="719C15B2"/>
    <w:rsid w:val="71A0468D"/>
    <w:rsid w:val="71A566B9"/>
    <w:rsid w:val="71AA1F21"/>
    <w:rsid w:val="71AA4758"/>
    <w:rsid w:val="71B5093D"/>
    <w:rsid w:val="71B93FFA"/>
    <w:rsid w:val="71BB5EDC"/>
    <w:rsid w:val="71BE286A"/>
    <w:rsid w:val="71BE59CD"/>
    <w:rsid w:val="71C55A11"/>
    <w:rsid w:val="71D7083C"/>
    <w:rsid w:val="71DC5BE7"/>
    <w:rsid w:val="71DD0E66"/>
    <w:rsid w:val="71E33685"/>
    <w:rsid w:val="71E739AA"/>
    <w:rsid w:val="71F66820"/>
    <w:rsid w:val="71F71FD7"/>
    <w:rsid w:val="71FE401B"/>
    <w:rsid w:val="72005FE5"/>
    <w:rsid w:val="72031631"/>
    <w:rsid w:val="72106A25"/>
    <w:rsid w:val="72126DA0"/>
    <w:rsid w:val="721D26F3"/>
    <w:rsid w:val="72224147"/>
    <w:rsid w:val="722A7C6B"/>
    <w:rsid w:val="722C6DDA"/>
    <w:rsid w:val="722D6D03"/>
    <w:rsid w:val="72343EE1"/>
    <w:rsid w:val="72347A3D"/>
    <w:rsid w:val="72457E9C"/>
    <w:rsid w:val="7249798C"/>
    <w:rsid w:val="72640322"/>
    <w:rsid w:val="72695938"/>
    <w:rsid w:val="72727E51"/>
    <w:rsid w:val="72730565"/>
    <w:rsid w:val="7278201F"/>
    <w:rsid w:val="727D5888"/>
    <w:rsid w:val="72802C82"/>
    <w:rsid w:val="728269FA"/>
    <w:rsid w:val="728409C4"/>
    <w:rsid w:val="72867D6D"/>
    <w:rsid w:val="728C1627"/>
    <w:rsid w:val="7295497F"/>
    <w:rsid w:val="72A76461"/>
    <w:rsid w:val="72A942BC"/>
    <w:rsid w:val="72AC5715"/>
    <w:rsid w:val="72B8241C"/>
    <w:rsid w:val="72BD7A32"/>
    <w:rsid w:val="72BF5110"/>
    <w:rsid w:val="72C55C8D"/>
    <w:rsid w:val="72C74D55"/>
    <w:rsid w:val="72D11D6A"/>
    <w:rsid w:val="72DA22AC"/>
    <w:rsid w:val="72DA4A88"/>
    <w:rsid w:val="72E40A32"/>
    <w:rsid w:val="72E41463"/>
    <w:rsid w:val="72E74AAF"/>
    <w:rsid w:val="72EB459F"/>
    <w:rsid w:val="72F625F3"/>
    <w:rsid w:val="72FD23CD"/>
    <w:rsid w:val="73010267"/>
    <w:rsid w:val="730438B3"/>
    <w:rsid w:val="730B69EF"/>
    <w:rsid w:val="730E64E0"/>
    <w:rsid w:val="731616CA"/>
    <w:rsid w:val="73325FAB"/>
    <w:rsid w:val="7342446D"/>
    <w:rsid w:val="734C4E47"/>
    <w:rsid w:val="736164FD"/>
    <w:rsid w:val="736305DA"/>
    <w:rsid w:val="73634E7E"/>
    <w:rsid w:val="736742CD"/>
    <w:rsid w:val="736F3422"/>
    <w:rsid w:val="737170B4"/>
    <w:rsid w:val="73726E46"/>
    <w:rsid w:val="737A780A"/>
    <w:rsid w:val="737E3665"/>
    <w:rsid w:val="73852C46"/>
    <w:rsid w:val="73867437"/>
    <w:rsid w:val="7388116B"/>
    <w:rsid w:val="738A025C"/>
    <w:rsid w:val="739143B8"/>
    <w:rsid w:val="73A40FAF"/>
    <w:rsid w:val="73A51D5E"/>
    <w:rsid w:val="73A77B0E"/>
    <w:rsid w:val="73AE6A9D"/>
    <w:rsid w:val="73AF19F5"/>
    <w:rsid w:val="73AF7CC3"/>
    <w:rsid w:val="73B23B2A"/>
    <w:rsid w:val="73B47087"/>
    <w:rsid w:val="73B928EF"/>
    <w:rsid w:val="73BF77DA"/>
    <w:rsid w:val="73C31078"/>
    <w:rsid w:val="73CA68AB"/>
    <w:rsid w:val="73DB2866"/>
    <w:rsid w:val="73DE5EB2"/>
    <w:rsid w:val="73E07E7C"/>
    <w:rsid w:val="73EB6821"/>
    <w:rsid w:val="73F65CC3"/>
    <w:rsid w:val="7403605F"/>
    <w:rsid w:val="740651CF"/>
    <w:rsid w:val="74085625"/>
    <w:rsid w:val="740C6EC3"/>
    <w:rsid w:val="74103CD5"/>
    <w:rsid w:val="7416389E"/>
    <w:rsid w:val="74185868"/>
    <w:rsid w:val="74257F85"/>
    <w:rsid w:val="74273CFD"/>
    <w:rsid w:val="74364910"/>
    <w:rsid w:val="743957DE"/>
    <w:rsid w:val="744321B9"/>
    <w:rsid w:val="7447614D"/>
    <w:rsid w:val="744D57F7"/>
    <w:rsid w:val="745E5DE3"/>
    <w:rsid w:val="74793E2D"/>
    <w:rsid w:val="74860732"/>
    <w:rsid w:val="7487654A"/>
    <w:rsid w:val="74962655"/>
    <w:rsid w:val="74974CB9"/>
    <w:rsid w:val="749869A9"/>
    <w:rsid w:val="74A0760B"/>
    <w:rsid w:val="74A215D5"/>
    <w:rsid w:val="74A569D0"/>
    <w:rsid w:val="74AB66DC"/>
    <w:rsid w:val="74AE3AD6"/>
    <w:rsid w:val="74B04019"/>
    <w:rsid w:val="74B05286"/>
    <w:rsid w:val="74B35591"/>
    <w:rsid w:val="74C07CAE"/>
    <w:rsid w:val="74C257D4"/>
    <w:rsid w:val="74C74B98"/>
    <w:rsid w:val="74D3178F"/>
    <w:rsid w:val="74DA0D6F"/>
    <w:rsid w:val="74DD0860"/>
    <w:rsid w:val="74E25E76"/>
    <w:rsid w:val="74E90FB2"/>
    <w:rsid w:val="74F00593"/>
    <w:rsid w:val="74F160B9"/>
    <w:rsid w:val="74F86BD2"/>
    <w:rsid w:val="74FB2A62"/>
    <w:rsid w:val="750202C6"/>
    <w:rsid w:val="750E0A19"/>
    <w:rsid w:val="750E6C6B"/>
    <w:rsid w:val="75151DA7"/>
    <w:rsid w:val="75170501"/>
    <w:rsid w:val="7517696C"/>
    <w:rsid w:val="751A5610"/>
    <w:rsid w:val="75256005"/>
    <w:rsid w:val="752A5329"/>
    <w:rsid w:val="753C7334"/>
    <w:rsid w:val="75410DEE"/>
    <w:rsid w:val="754547C7"/>
    <w:rsid w:val="754D21D6"/>
    <w:rsid w:val="755A1EB0"/>
    <w:rsid w:val="75610B49"/>
    <w:rsid w:val="756D1BE3"/>
    <w:rsid w:val="757B0E68"/>
    <w:rsid w:val="75916879"/>
    <w:rsid w:val="759E3B4B"/>
    <w:rsid w:val="759E6C36"/>
    <w:rsid w:val="75AB270C"/>
    <w:rsid w:val="75CB690A"/>
    <w:rsid w:val="75CD00DB"/>
    <w:rsid w:val="75EA55FF"/>
    <w:rsid w:val="75EB2B08"/>
    <w:rsid w:val="75EC7474"/>
    <w:rsid w:val="75F6692F"/>
    <w:rsid w:val="75F714AD"/>
    <w:rsid w:val="75FC2F67"/>
    <w:rsid w:val="7610256F"/>
    <w:rsid w:val="7615332D"/>
    <w:rsid w:val="761756AB"/>
    <w:rsid w:val="762027B2"/>
    <w:rsid w:val="76257DC8"/>
    <w:rsid w:val="762A1882"/>
    <w:rsid w:val="763C5112"/>
    <w:rsid w:val="763E76DA"/>
    <w:rsid w:val="764140A7"/>
    <w:rsid w:val="764E05BE"/>
    <w:rsid w:val="764F12E9"/>
    <w:rsid w:val="766C3C49"/>
    <w:rsid w:val="767C19B2"/>
    <w:rsid w:val="768014A2"/>
    <w:rsid w:val="76805946"/>
    <w:rsid w:val="7683711E"/>
    <w:rsid w:val="768371E5"/>
    <w:rsid w:val="76883582"/>
    <w:rsid w:val="76897BE1"/>
    <w:rsid w:val="768C42C0"/>
    <w:rsid w:val="76984A3E"/>
    <w:rsid w:val="769D18FF"/>
    <w:rsid w:val="769E5DCD"/>
    <w:rsid w:val="76AE24B4"/>
    <w:rsid w:val="76B53B8A"/>
    <w:rsid w:val="76BF021D"/>
    <w:rsid w:val="76C021E7"/>
    <w:rsid w:val="76C0457F"/>
    <w:rsid w:val="76C234D2"/>
    <w:rsid w:val="76C375E1"/>
    <w:rsid w:val="76C515AB"/>
    <w:rsid w:val="76C57C88"/>
    <w:rsid w:val="76D413CA"/>
    <w:rsid w:val="76D55A49"/>
    <w:rsid w:val="76DD06A3"/>
    <w:rsid w:val="76DD6482"/>
    <w:rsid w:val="76EE28B0"/>
    <w:rsid w:val="76EF6628"/>
    <w:rsid w:val="770A4420"/>
    <w:rsid w:val="770E012A"/>
    <w:rsid w:val="771542E1"/>
    <w:rsid w:val="771D13E7"/>
    <w:rsid w:val="77214F12"/>
    <w:rsid w:val="77381D7D"/>
    <w:rsid w:val="77415016"/>
    <w:rsid w:val="774921DC"/>
    <w:rsid w:val="774B24CA"/>
    <w:rsid w:val="775A0D5E"/>
    <w:rsid w:val="77690147"/>
    <w:rsid w:val="778D20C9"/>
    <w:rsid w:val="77A71C28"/>
    <w:rsid w:val="77A86F03"/>
    <w:rsid w:val="77AE75EE"/>
    <w:rsid w:val="77B84C6C"/>
    <w:rsid w:val="77BB58F1"/>
    <w:rsid w:val="77BC29AE"/>
    <w:rsid w:val="77BE6726"/>
    <w:rsid w:val="77C67389"/>
    <w:rsid w:val="77CC4A7E"/>
    <w:rsid w:val="77D20B84"/>
    <w:rsid w:val="77D25D2E"/>
    <w:rsid w:val="77EC030F"/>
    <w:rsid w:val="77FA5285"/>
    <w:rsid w:val="780041AA"/>
    <w:rsid w:val="78014865"/>
    <w:rsid w:val="780162E2"/>
    <w:rsid w:val="78063C29"/>
    <w:rsid w:val="78120820"/>
    <w:rsid w:val="7814407F"/>
    <w:rsid w:val="781659A5"/>
    <w:rsid w:val="781C344D"/>
    <w:rsid w:val="78296BD0"/>
    <w:rsid w:val="782C1E12"/>
    <w:rsid w:val="782C7B34"/>
    <w:rsid w:val="782E55ED"/>
    <w:rsid w:val="78357812"/>
    <w:rsid w:val="78362761"/>
    <w:rsid w:val="78372035"/>
    <w:rsid w:val="78434E7D"/>
    <w:rsid w:val="784529A4"/>
    <w:rsid w:val="78485FF0"/>
    <w:rsid w:val="78570929"/>
    <w:rsid w:val="785715FC"/>
    <w:rsid w:val="78591FAB"/>
    <w:rsid w:val="786D20AB"/>
    <w:rsid w:val="787119EB"/>
    <w:rsid w:val="787E5EB6"/>
    <w:rsid w:val="7898720E"/>
    <w:rsid w:val="78A05750"/>
    <w:rsid w:val="78A45A31"/>
    <w:rsid w:val="78A91184"/>
    <w:rsid w:val="78AD0549"/>
    <w:rsid w:val="78B57669"/>
    <w:rsid w:val="78B82281"/>
    <w:rsid w:val="78BB4A14"/>
    <w:rsid w:val="78C0027C"/>
    <w:rsid w:val="78C31B1A"/>
    <w:rsid w:val="78D22E20"/>
    <w:rsid w:val="78DA54CD"/>
    <w:rsid w:val="78E409C1"/>
    <w:rsid w:val="78E81581"/>
    <w:rsid w:val="78E977D3"/>
    <w:rsid w:val="78EB3E77"/>
    <w:rsid w:val="78EE303B"/>
    <w:rsid w:val="78F65A4C"/>
    <w:rsid w:val="79052133"/>
    <w:rsid w:val="7911603F"/>
    <w:rsid w:val="792262A2"/>
    <w:rsid w:val="792E2798"/>
    <w:rsid w:val="793E41CE"/>
    <w:rsid w:val="79522377"/>
    <w:rsid w:val="795841F9"/>
    <w:rsid w:val="79775D89"/>
    <w:rsid w:val="797D6BBB"/>
    <w:rsid w:val="798219D5"/>
    <w:rsid w:val="798E2128"/>
    <w:rsid w:val="799040F2"/>
    <w:rsid w:val="79907C4E"/>
    <w:rsid w:val="79985B76"/>
    <w:rsid w:val="79A856DF"/>
    <w:rsid w:val="79B871A5"/>
    <w:rsid w:val="79C15D87"/>
    <w:rsid w:val="79D20267"/>
    <w:rsid w:val="79D41C32"/>
    <w:rsid w:val="79DA7144"/>
    <w:rsid w:val="79E306C6"/>
    <w:rsid w:val="79E41D48"/>
    <w:rsid w:val="79E65AC0"/>
    <w:rsid w:val="79E67DB7"/>
    <w:rsid w:val="79EA1A55"/>
    <w:rsid w:val="79EB0C81"/>
    <w:rsid w:val="79F97F36"/>
    <w:rsid w:val="7A081B15"/>
    <w:rsid w:val="7A0C655C"/>
    <w:rsid w:val="7A102B3D"/>
    <w:rsid w:val="7A1545F8"/>
    <w:rsid w:val="7A170370"/>
    <w:rsid w:val="7A243ABF"/>
    <w:rsid w:val="7A301431"/>
    <w:rsid w:val="7A385657"/>
    <w:rsid w:val="7A4D1FE3"/>
    <w:rsid w:val="7A4D79F6"/>
    <w:rsid w:val="7A4E6B55"/>
    <w:rsid w:val="7A561A1A"/>
    <w:rsid w:val="7A736BF9"/>
    <w:rsid w:val="7A772BBC"/>
    <w:rsid w:val="7A852679"/>
    <w:rsid w:val="7A85352B"/>
    <w:rsid w:val="7A8A28F0"/>
    <w:rsid w:val="7A8C48BA"/>
    <w:rsid w:val="7A8D418E"/>
    <w:rsid w:val="7A925C48"/>
    <w:rsid w:val="7A96154A"/>
    <w:rsid w:val="7AAC0AB8"/>
    <w:rsid w:val="7AAF05A8"/>
    <w:rsid w:val="7ACC2F08"/>
    <w:rsid w:val="7ACF0C4A"/>
    <w:rsid w:val="7AE7324F"/>
    <w:rsid w:val="7AF9035A"/>
    <w:rsid w:val="7AFD7566"/>
    <w:rsid w:val="7B0E1773"/>
    <w:rsid w:val="7B205002"/>
    <w:rsid w:val="7B2C6C51"/>
    <w:rsid w:val="7B340AAD"/>
    <w:rsid w:val="7B4656D3"/>
    <w:rsid w:val="7B4F3085"/>
    <w:rsid w:val="7B514F61"/>
    <w:rsid w:val="7B5729C0"/>
    <w:rsid w:val="7B5A49B8"/>
    <w:rsid w:val="7B616A15"/>
    <w:rsid w:val="7B6F745C"/>
    <w:rsid w:val="7B762A22"/>
    <w:rsid w:val="7B7D4202"/>
    <w:rsid w:val="7B88083C"/>
    <w:rsid w:val="7B915F00"/>
    <w:rsid w:val="7B975CDC"/>
    <w:rsid w:val="7B9B52B6"/>
    <w:rsid w:val="7BA7127F"/>
    <w:rsid w:val="7BAB16B6"/>
    <w:rsid w:val="7BAC2D3A"/>
    <w:rsid w:val="7BAF1A00"/>
    <w:rsid w:val="7BB10350"/>
    <w:rsid w:val="7BB12469"/>
    <w:rsid w:val="7BB3231A"/>
    <w:rsid w:val="7BBB1BB7"/>
    <w:rsid w:val="7BC40997"/>
    <w:rsid w:val="7BCE4A5E"/>
    <w:rsid w:val="7BD2109B"/>
    <w:rsid w:val="7BD858DD"/>
    <w:rsid w:val="7BDA7E6F"/>
    <w:rsid w:val="7BDB1C82"/>
    <w:rsid w:val="7BE23839"/>
    <w:rsid w:val="7BF546E1"/>
    <w:rsid w:val="7C016BE2"/>
    <w:rsid w:val="7C027614"/>
    <w:rsid w:val="7C052C38"/>
    <w:rsid w:val="7C091EA2"/>
    <w:rsid w:val="7C1077CB"/>
    <w:rsid w:val="7C156B31"/>
    <w:rsid w:val="7C1728A9"/>
    <w:rsid w:val="7C280612"/>
    <w:rsid w:val="7C2B0102"/>
    <w:rsid w:val="7C350F81"/>
    <w:rsid w:val="7C3A6597"/>
    <w:rsid w:val="7C432AFE"/>
    <w:rsid w:val="7C44063B"/>
    <w:rsid w:val="7C4660A5"/>
    <w:rsid w:val="7C4A67DB"/>
    <w:rsid w:val="7C4B2553"/>
    <w:rsid w:val="7C5807CC"/>
    <w:rsid w:val="7C617401"/>
    <w:rsid w:val="7C63164A"/>
    <w:rsid w:val="7C6F6241"/>
    <w:rsid w:val="7C70431D"/>
    <w:rsid w:val="7C72188D"/>
    <w:rsid w:val="7C7D459B"/>
    <w:rsid w:val="7C8E3C6B"/>
    <w:rsid w:val="7C920181"/>
    <w:rsid w:val="7C9A7B71"/>
    <w:rsid w:val="7C9B5288"/>
    <w:rsid w:val="7CAD0B17"/>
    <w:rsid w:val="7CAF7FC7"/>
    <w:rsid w:val="7CB65C1E"/>
    <w:rsid w:val="7CBB76D8"/>
    <w:rsid w:val="7CC320E9"/>
    <w:rsid w:val="7CC831E4"/>
    <w:rsid w:val="7CC97806"/>
    <w:rsid w:val="7CCC3693"/>
    <w:rsid w:val="7CD70BCB"/>
    <w:rsid w:val="7CDC1D39"/>
    <w:rsid w:val="7CE513A9"/>
    <w:rsid w:val="7CED53B8"/>
    <w:rsid w:val="7D024A6C"/>
    <w:rsid w:val="7D052701"/>
    <w:rsid w:val="7D0746CC"/>
    <w:rsid w:val="7D0C05E5"/>
    <w:rsid w:val="7D0C1CE2"/>
    <w:rsid w:val="7D254B52"/>
    <w:rsid w:val="7D2D11BD"/>
    <w:rsid w:val="7D364FB1"/>
    <w:rsid w:val="7D382289"/>
    <w:rsid w:val="7D382AD7"/>
    <w:rsid w:val="7D3B4375"/>
    <w:rsid w:val="7D5A7731"/>
    <w:rsid w:val="7D690EE2"/>
    <w:rsid w:val="7D6A6A08"/>
    <w:rsid w:val="7D6C452F"/>
    <w:rsid w:val="7D8E6B9B"/>
    <w:rsid w:val="7D923955"/>
    <w:rsid w:val="7D93607C"/>
    <w:rsid w:val="7D98438D"/>
    <w:rsid w:val="7D9B4E14"/>
    <w:rsid w:val="7DAC5273"/>
    <w:rsid w:val="7DB215C4"/>
    <w:rsid w:val="7DC078DD"/>
    <w:rsid w:val="7DCC17D7"/>
    <w:rsid w:val="7DCE51E9"/>
    <w:rsid w:val="7DD520D4"/>
    <w:rsid w:val="7DDB7E4D"/>
    <w:rsid w:val="7DDF2F52"/>
    <w:rsid w:val="7DE52E86"/>
    <w:rsid w:val="7E01111B"/>
    <w:rsid w:val="7E0724A9"/>
    <w:rsid w:val="7E10135E"/>
    <w:rsid w:val="7E172CBE"/>
    <w:rsid w:val="7E1A29E0"/>
    <w:rsid w:val="7E2253C9"/>
    <w:rsid w:val="7E240E58"/>
    <w:rsid w:val="7E2D1217"/>
    <w:rsid w:val="7E3037AE"/>
    <w:rsid w:val="7E386B07"/>
    <w:rsid w:val="7E3A2692"/>
    <w:rsid w:val="7E3D5ECB"/>
    <w:rsid w:val="7E3F39F1"/>
    <w:rsid w:val="7E631A45"/>
    <w:rsid w:val="7E68080F"/>
    <w:rsid w:val="7E682F48"/>
    <w:rsid w:val="7E723DC7"/>
    <w:rsid w:val="7E773A3E"/>
    <w:rsid w:val="7E7A0ECD"/>
    <w:rsid w:val="7E7C69F3"/>
    <w:rsid w:val="7E955D07"/>
    <w:rsid w:val="7EAD4390"/>
    <w:rsid w:val="7EAF6DC9"/>
    <w:rsid w:val="7EB20667"/>
    <w:rsid w:val="7EB443DF"/>
    <w:rsid w:val="7EB83D06"/>
    <w:rsid w:val="7EC8171B"/>
    <w:rsid w:val="7EC81994"/>
    <w:rsid w:val="7ED56104"/>
    <w:rsid w:val="7EE74DB5"/>
    <w:rsid w:val="7EF944E8"/>
    <w:rsid w:val="7F0C5FC9"/>
    <w:rsid w:val="7F0D7F93"/>
    <w:rsid w:val="7F1C4DFC"/>
    <w:rsid w:val="7F1E5B06"/>
    <w:rsid w:val="7F1F0697"/>
    <w:rsid w:val="7F203823"/>
    <w:rsid w:val="7F217DA4"/>
    <w:rsid w:val="7F2262C3"/>
    <w:rsid w:val="7F29762A"/>
    <w:rsid w:val="7F447269"/>
    <w:rsid w:val="7F453289"/>
    <w:rsid w:val="7F5160D2"/>
    <w:rsid w:val="7F853FCE"/>
    <w:rsid w:val="7F855D7C"/>
    <w:rsid w:val="7F857B2A"/>
    <w:rsid w:val="7F8747DB"/>
    <w:rsid w:val="7F881F44"/>
    <w:rsid w:val="7F9525ED"/>
    <w:rsid w:val="7F9D3A37"/>
    <w:rsid w:val="7F9E0CF9"/>
    <w:rsid w:val="7F9F0C78"/>
    <w:rsid w:val="7F9F6E3D"/>
    <w:rsid w:val="7FA36202"/>
    <w:rsid w:val="7FA501CC"/>
    <w:rsid w:val="7FB83A5B"/>
    <w:rsid w:val="7FB977D3"/>
    <w:rsid w:val="7FC5796F"/>
    <w:rsid w:val="7FC67C14"/>
    <w:rsid w:val="7FD34D39"/>
    <w:rsid w:val="7FD85EAB"/>
    <w:rsid w:val="7FD92881"/>
    <w:rsid w:val="7FDF723A"/>
    <w:rsid w:val="7FE9630A"/>
    <w:rsid w:val="7FEB2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39"/>
    <w:pPr>
      <w:ind w:left="1260"/>
      <w:jc w:val="left"/>
    </w:pPr>
    <w:rPr>
      <w:sz w:val="18"/>
      <w:szCs w:val="18"/>
    </w:rPr>
  </w:style>
  <w:style w:type="paragraph" w:styleId="6">
    <w:name w:val="Normal Indent"/>
    <w:basedOn w:val="1"/>
    <w:qFormat/>
    <w:uiPriority w:val="0"/>
    <w:pPr>
      <w:adjustRightInd w:val="0"/>
      <w:spacing w:line="360" w:lineRule="atLeast"/>
      <w:ind w:firstLine="482"/>
    </w:pPr>
    <w:rPr>
      <w:sz w:val="24"/>
    </w:rPr>
  </w:style>
  <w:style w:type="paragraph" w:styleId="7">
    <w:name w:val="annotation text"/>
    <w:basedOn w:val="1"/>
    <w:link w:val="43"/>
    <w:qFormat/>
    <w:uiPriority w:val="0"/>
    <w:pPr>
      <w:jc w:val="left"/>
    </w:pPr>
  </w:style>
  <w:style w:type="paragraph" w:styleId="8">
    <w:name w:val="Body Text"/>
    <w:basedOn w:val="1"/>
    <w:next w:val="1"/>
    <w:qFormat/>
    <w:uiPriority w:val="0"/>
    <w:pPr>
      <w:jc w:val="center"/>
    </w:pPr>
    <w:rPr>
      <w:b/>
      <w:bCs/>
      <w:sz w:val="44"/>
      <w:szCs w:val="20"/>
    </w:rPr>
  </w:style>
  <w:style w:type="paragraph" w:styleId="9">
    <w:name w:val="Body Text Indent"/>
    <w:basedOn w:val="1"/>
    <w:next w:val="10"/>
    <w:qFormat/>
    <w:uiPriority w:val="0"/>
    <w:pPr>
      <w:spacing w:line="500" w:lineRule="exact"/>
      <w:ind w:firstLine="538"/>
    </w:pPr>
    <w:rPr>
      <w:sz w:val="28"/>
    </w:rPr>
  </w:style>
  <w:style w:type="paragraph" w:styleId="10">
    <w:name w:val="envelope return"/>
    <w:basedOn w:val="1"/>
    <w:next w:val="5"/>
    <w:qFormat/>
    <w:uiPriority w:val="0"/>
    <w:pPr>
      <w:snapToGrid w:val="0"/>
    </w:pPr>
    <w:rPr>
      <w:rFonts w:ascii="Arial" w:hAnsi="Arial"/>
    </w:rPr>
  </w:style>
  <w:style w:type="paragraph" w:styleId="11">
    <w:name w:val="Block Text"/>
    <w:basedOn w:val="1"/>
    <w:qFormat/>
    <w:uiPriority w:val="0"/>
    <w:pPr>
      <w:spacing w:line="400" w:lineRule="exact"/>
      <w:ind w:left="-359" w:leftChars="-171" w:right="31" w:rightChars="15" w:firstLine="980" w:firstLineChars="350"/>
    </w:pPr>
    <w:rPr>
      <w:rFonts w:ascii="宋体" w:hAnsi="宋体"/>
      <w:sz w:val="28"/>
      <w:szCs w:val="32"/>
    </w:rPr>
  </w:style>
  <w:style w:type="paragraph" w:styleId="12">
    <w:name w:val="index 4"/>
    <w:basedOn w:val="1"/>
    <w:next w:val="1"/>
    <w:qFormat/>
    <w:uiPriority w:val="0"/>
    <w:pPr>
      <w:ind w:left="600" w:leftChars="600"/>
    </w:pPr>
  </w:style>
  <w:style w:type="paragraph" w:styleId="13">
    <w:name w:val="Plain Text"/>
    <w:basedOn w:val="1"/>
    <w:qFormat/>
    <w:uiPriority w:val="0"/>
    <w:rPr>
      <w:rFonts w:ascii="宋体"/>
      <w:color w:val="000000"/>
      <w:szCs w:val="20"/>
      <w:u w:color="000000"/>
    </w:rPr>
  </w:style>
  <w:style w:type="paragraph" w:styleId="14">
    <w:name w:val="Date"/>
    <w:basedOn w:val="1"/>
    <w:next w:val="1"/>
    <w:link w:val="44"/>
    <w:qFormat/>
    <w:uiPriority w:val="0"/>
    <w:rPr>
      <w:rFonts w:ascii="仿宋_GB2312" w:eastAsia="仿宋_GB2312"/>
      <w:sz w:val="30"/>
      <w:szCs w:val="20"/>
    </w:rPr>
  </w:style>
  <w:style w:type="paragraph" w:styleId="15">
    <w:name w:val="Body Text Indent 2"/>
    <w:basedOn w:val="1"/>
    <w:qFormat/>
    <w:uiPriority w:val="0"/>
    <w:pPr>
      <w:spacing w:line="360" w:lineRule="exact"/>
      <w:ind w:firstLine="600" w:firstLineChars="250"/>
      <w:jc w:val="left"/>
    </w:pPr>
    <w:rPr>
      <w:sz w:val="24"/>
    </w:r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autoSpaceDE w:val="0"/>
      <w:autoSpaceDN w:val="0"/>
      <w:spacing w:before="146"/>
      <w:ind w:left="455"/>
      <w:jc w:val="left"/>
    </w:pPr>
    <w:rPr>
      <w:rFonts w:ascii="宋体" w:hAnsi="宋体" w:cs="宋体"/>
      <w:b/>
      <w:bCs/>
      <w:kern w:val="0"/>
      <w:sz w:val="22"/>
      <w:szCs w:val="22"/>
      <w:lang w:val="zh-CN" w:bidi="zh-CN"/>
    </w:rPr>
  </w:style>
  <w:style w:type="paragraph" w:styleId="20">
    <w:name w:val="List"/>
    <w:basedOn w:val="1"/>
    <w:next w:val="1"/>
    <w:qFormat/>
    <w:uiPriority w:val="0"/>
    <w:pPr>
      <w:ind w:left="200" w:hanging="200" w:hangingChars="200"/>
    </w:pPr>
  </w:style>
  <w:style w:type="paragraph" w:styleId="21">
    <w:name w:val="toc 2"/>
    <w:basedOn w:val="1"/>
    <w:next w:val="1"/>
    <w:qFormat/>
    <w:uiPriority w:val="39"/>
    <w:pPr>
      <w:ind w:left="210"/>
      <w:jc w:val="left"/>
    </w:pPr>
    <w:rPr>
      <w:smallCaps/>
      <w:sz w:val="20"/>
    </w:rPr>
  </w:style>
  <w:style w:type="paragraph" w:styleId="22">
    <w:name w:val="Body Text 2"/>
    <w:basedOn w:val="1"/>
    <w:qFormat/>
    <w:uiPriority w:val="0"/>
    <w:pPr>
      <w:spacing w:line="440" w:lineRule="exact"/>
    </w:pPr>
    <w:rPr>
      <w:sz w:val="28"/>
    </w:rPr>
  </w:style>
  <w:style w:type="paragraph" w:styleId="23">
    <w:name w:val="Normal (Web)"/>
    <w:basedOn w:val="1"/>
    <w:qFormat/>
    <w:uiPriority w:val="0"/>
    <w:pPr>
      <w:widowControl/>
      <w:jc w:val="left"/>
    </w:pPr>
    <w:rPr>
      <w:rFonts w:ascii="宋体" w:hAnsi="宋体" w:cs="宋体"/>
      <w:kern w:val="0"/>
      <w:sz w:val="18"/>
      <w:szCs w:val="18"/>
    </w:rPr>
  </w:style>
  <w:style w:type="paragraph" w:styleId="24">
    <w:name w:val="annotation subject"/>
    <w:basedOn w:val="7"/>
    <w:next w:val="7"/>
    <w:link w:val="45"/>
    <w:qFormat/>
    <w:uiPriority w:val="0"/>
    <w:rPr>
      <w:b/>
      <w:bCs/>
    </w:rPr>
  </w:style>
  <w:style w:type="paragraph" w:styleId="25">
    <w:name w:val="Body Text First Indent 2"/>
    <w:basedOn w:val="9"/>
    <w:next w:val="1"/>
    <w:qFormat/>
    <w:uiPriority w:val="0"/>
    <w:pPr>
      <w:spacing w:line="360" w:lineRule="auto"/>
      <w:ind w:firstLine="200" w:firstLineChars="200"/>
    </w:pPr>
    <w:rPr>
      <w:rFonts w:ascii="宋体"/>
      <w:szCs w:val="20"/>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rPr>
  </w:style>
  <w:style w:type="character" w:styleId="30">
    <w:name w:val="page number"/>
    <w:qFormat/>
    <w:uiPriority w:val="0"/>
  </w:style>
  <w:style w:type="character" w:styleId="31">
    <w:name w:val="FollowedHyperlink"/>
    <w:qFormat/>
    <w:uiPriority w:val="0"/>
    <w:rPr>
      <w:color w:val="333333"/>
      <w:u w:val="none"/>
    </w:rPr>
  </w:style>
  <w:style w:type="character" w:styleId="32">
    <w:name w:val="Emphasis"/>
    <w:qFormat/>
    <w:uiPriority w:val="0"/>
  </w:style>
  <w:style w:type="character" w:styleId="33">
    <w:name w:val="HTML Definition"/>
    <w:qFormat/>
    <w:uiPriority w:val="0"/>
  </w:style>
  <w:style w:type="character" w:styleId="34">
    <w:name w:val="HTML Typewriter"/>
    <w:qFormat/>
    <w:uiPriority w:val="0"/>
    <w:rPr>
      <w:rFonts w:hint="default" w:ascii="monospace" w:hAnsi="monospace" w:eastAsia="monospace" w:cs="monospace"/>
      <w:sz w:val="20"/>
    </w:rPr>
  </w:style>
  <w:style w:type="character" w:styleId="35">
    <w:name w:val="HTML Acronym"/>
    <w:qFormat/>
    <w:uiPriority w:val="0"/>
  </w:style>
  <w:style w:type="character" w:styleId="36">
    <w:name w:val="HTML Variable"/>
    <w:qFormat/>
    <w:uiPriority w:val="0"/>
  </w:style>
  <w:style w:type="character" w:styleId="37">
    <w:name w:val="Hyperlink"/>
    <w:qFormat/>
    <w:uiPriority w:val="0"/>
    <w:rPr>
      <w:color w:val="333333"/>
      <w:u w:val="none"/>
    </w:rPr>
  </w:style>
  <w:style w:type="character" w:styleId="38">
    <w:name w:val="HTML Code"/>
    <w:qFormat/>
    <w:uiPriority w:val="0"/>
    <w:rPr>
      <w:rFonts w:hint="default" w:ascii="monospace" w:hAnsi="monospace" w:eastAsia="monospace" w:cs="monospace"/>
      <w:sz w:val="20"/>
    </w:rPr>
  </w:style>
  <w:style w:type="character" w:styleId="39">
    <w:name w:val="annotation reference"/>
    <w:basedOn w:val="28"/>
    <w:qFormat/>
    <w:uiPriority w:val="0"/>
    <w:rPr>
      <w:sz w:val="21"/>
      <w:szCs w:val="21"/>
    </w:rPr>
  </w:style>
  <w:style w:type="character" w:styleId="40">
    <w:name w:val="HTML Cite"/>
    <w:qFormat/>
    <w:uiPriority w:val="0"/>
  </w:style>
  <w:style w:type="character" w:styleId="41">
    <w:name w:val="HTML Keyboard"/>
    <w:qFormat/>
    <w:uiPriority w:val="0"/>
    <w:rPr>
      <w:rFonts w:ascii="monospace" w:hAnsi="monospace" w:eastAsia="monospace" w:cs="monospace"/>
      <w:sz w:val="20"/>
    </w:rPr>
  </w:style>
  <w:style w:type="character" w:styleId="42">
    <w:name w:val="HTML Sample"/>
    <w:qFormat/>
    <w:uiPriority w:val="0"/>
    <w:rPr>
      <w:rFonts w:hint="default" w:ascii="monospace" w:hAnsi="monospace" w:eastAsia="monospace" w:cs="monospace"/>
    </w:rPr>
  </w:style>
  <w:style w:type="character" w:customStyle="1" w:styleId="43">
    <w:name w:val="批注文字 字符"/>
    <w:link w:val="7"/>
    <w:qFormat/>
    <w:uiPriority w:val="0"/>
    <w:rPr>
      <w:kern w:val="2"/>
      <w:sz w:val="21"/>
      <w:szCs w:val="24"/>
    </w:rPr>
  </w:style>
  <w:style w:type="character" w:customStyle="1" w:styleId="44">
    <w:name w:val="日期 字符"/>
    <w:link w:val="14"/>
    <w:qFormat/>
    <w:uiPriority w:val="0"/>
    <w:rPr>
      <w:rFonts w:ascii="仿宋_GB2312" w:eastAsia="仿宋_GB2312"/>
      <w:kern w:val="2"/>
      <w:sz w:val="30"/>
      <w:lang w:val="en-US" w:eastAsia="zh-CN" w:bidi="ar-SA"/>
    </w:rPr>
  </w:style>
  <w:style w:type="character" w:customStyle="1" w:styleId="45">
    <w:name w:val="批注主题 字符"/>
    <w:link w:val="24"/>
    <w:qFormat/>
    <w:uiPriority w:val="0"/>
    <w:rPr>
      <w:b/>
      <w:bCs/>
      <w:kern w:val="2"/>
      <w:sz w:val="21"/>
      <w:szCs w:val="24"/>
    </w:rPr>
  </w:style>
  <w:style w:type="character" w:customStyle="1" w:styleId="46">
    <w:name w:val="NormalCharacter"/>
    <w:qFormat/>
    <w:uiPriority w:val="0"/>
    <w:rPr>
      <w:kern w:val="2"/>
      <w:sz w:val="21"/>
      <w:szCs w:val="24"/>
      <w:lang w:val="en-US" w:eastAsia="zh-CN" w:bidi="ar-SA"/>
    </w:rPr>
  </w:style>
  <w:style w:type="character" w:customStyle="1" w:styleId="47">
    <w:name w:val="font61"/>
    <w:qFormat/>
    <w:uiPriority w:val="0"/>
    <w:rPr>
      <w:rFonts w:hint="eastAsia" w:ascii="宋体" w:hAnsi="宋体" w:eastAsia="宋体" w:cs="宋体"/>
      <w:color w:val="000000"/>
      <w:sz w:val="14"/>
      <w:szCs w:val="14"/>
      <w:u w:val="none"/>
    </w:rPr>
  </w:style>
  <w:style w:type="character" w:customStyle="1" w:styleId="48">
    <w:name w:val="font51"/>
    <w:qFormat/>
    <w:uiPriority w:val="0"/>
    <w:rPr>
      <w:rFonts w:hint="eastAsia" w:ascii="宋体" w:hAnsi="宋体" w:eastAsia="宋体" w:cs="宋体"/>
      <w:color w:val="auto"/>
      <w:sz w:val="14"/>
      <w:szCs w:val="14"/>
      <w:u w:val="none"/>
    </w:rPr>
  </w:style>
  <w:style w:type="character" w:customStyle="1" w:styleId="49">
    <w:name w:val="font81"/>
    <w:qFormat/>
    <w:uiPriority w:val="0"/>
    <w:rPr>
      <w:rFonts w:hint="default" w:ascii="Times New Roman" w:hAnsi="Times New Roman" w:cs="Times New Roman"/>
      <w:color w:val="auto"/>
      <w:sz w:val="14"/>
      <w:szCs w:val="14"/>
      <w:u w:val="none"/>
    </w:rPr>
  </w:style>
  <w:style w:type="character" w:customStyle="1" w:styleId="50">
    <w:name w:val="font71"/>
    <w:qFormat/>
    <w:uiPriority w:val="0"/>
    <w:rPr>
      <w:rFonts w:hint="eastAsia" w:ascii="宋体" w:hAnsi="宋体" w:eastAsia="宋体" w:cs="宋体"/>
      <w:color w:val="auto"/>
      <w:sz w:val="14"/>
      <w:szCs w:val="14"/>
      <w:u w:val="none"/>
    </w:rPr>
  </w:style>
  <w:style w:type="character" w:customStyle="1" w:styleId="51">
    <w:name w:val="bigfont"/>
    <w:qFormat/>
    <w:uiPriority w:val="0"/>
  </w:style>
  <w:style w:type="paragraph" w:customStyle="1" w:styleId="52">
    <w:name w:val="Char"/>
    <w:basedOn w:val="1"/>
    <w:qFormat/>
    <w:uiPriority w:val="0"/>
    <w:pPr>
      <w:widowControl/>
      <w:spacing w:line="360" w:lineRule="auto"/>
      <w:jc w:val="left"/>
    </w:pPr>
  </w:style>
  <w:style w:type="paragraph" w:customStyle="1" w:styleId="53">
    <w:name w:val="标准文本"/>
    <w:basedOn w:val="1"/>
    <w:qFormat/>
    <w:uiPriority w:val="99"/>
    <w:pPr>
      <w:spacing w:line="360" w:lineRule="auto"/>
      <w:ind w:firstLine="480" w:firstLineChars="200"/>
    </w:pPr>
    <w:rPr>
      <w:rFonts w:cs="宋体"/>
      <w:sz w:val="24"/>
      <w:szCs w:val="20"/>
    </w:rPr>
  </w:style>
  <w:style w:type="paragraph" w:customStyle="1" w:styleId="54">
    <w:name w:val="Char Char Char Char Char Char Char1 Char"/>
    <w:basedOn w:val="1"/>
    <w:qFormat/>
    <w:uiPriority w:val="0"/>
    <w:rPr>
      <w:rFonts w:ascii="Tahoma" w:hAnsi="Tahoma"/>
      <w:sz w:val="24"/>
      <w:szCs w:val="20"/>
    </w:rPr>
  </w:style>
  <w:style w:type="paragraph" w:customStyle="1" w:styleId="55">
    <w:name w:val="Char1"/>
    <w:basedOn w:val="1"/>
    <w:qFormat/>
    <w:uiPriority w:val="0"/>
    <w:rPr>
      <w:rFonts w:ascii="Tahoma" w:hAnsi="Tahoma"/>
      <w:sz w:val="24"/>
      <w:szCs w:val="20"/>
    </w:rPr>
  </w:style>
  <w:style w:type="paragraph" w:customStyle="1" w:styleId="56">
    <w:name w:val="列表段落1"/>
    <w:basedOn w:val="1"/>
    <w:qFormat/>
    <w:uiPriority w:val="34"/>
    <w:pPr>
      <w:spacing w:line="360" w:lineRule="auto"/>
      <w:ind w:firstLine="420" w:firstLineChars="200"/>
    </w:pPr>
    <w:rPr>
      <w:szCs w:val="20"/>
    </w:rPr>
  </w:style>
  <w:style w:type="paragraph" w:customStyle="1" w:styleId="57">
    <w:name w:val="*正文"/>
    <w:basedOn w:val="1"/>
    <w:qFormat/>
    <w:uiPriority w:val="0"/>
    <w:pPr>
      <w:widowControl/>
      <w:snapToGrid w:val="0"/>
      <w:ind w:firstLine="560"/>
      <w:jc w:val="left"/>
    </w:pPr>
    <w:rPr>
      <w:rFonts w:ascii="仿宋_GB2312"/>
      <w:color w:val="191919"/>
      <w:sz w:val="28"/>
      <w:szCs w:val="28"/>
    </w:rPr>
  </w:style>
  <w:style w:type="paragraph" w:styleId="58">
    <w:name w:val="List Paragraph"/>
    <w:basedOn w:val="1"/>
    <w:qFormat/>
    <w:uiPriority w:val="34"/>
    <w:pPr>
      <w:spacing w:line="360" w:lineRule="auto"/>
      <w:ind w:firstLine="420" w:firstLineChars="200"/>
    </w:pPr>
    <w:rPr>
      <w:szCs w:val="20"/>
    </w:rPr>
  </w:style>
  <w:style w:type="paragraph" w:customStyle="1" w:styleId="59">
    <w:name w:val="默认段落字体 Para Char Char Char Char"/>
    <w:basedOn w:val="1"/>
    <w:qFormat/>
    <w:uiPriority w:val="0"/>
  </w:style>
  <w:style w:type="paragraph" w:customStyle="1" w:styleId="6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列出段落1"/>
    <w:basedOn w:val="1"/>
    <w:qFormat/>
    <w:uiPriority w:val="99"/>
    <w:pPr>
      <w:ind w:firstLine="420" w:firstLineChars="200"/>
    </w:pPr>
    <w:rPr>
      <w:rFonts w:ascii="Calibri" w:hAnsi="Calibri"/>
    </w:rPr>
  </w:style>
  <w:style w:type="paragraph" w:customStyle="1" w:styleId="62">
    <w:name w:val="正文1"/>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63">
    <w:name w:val="fontstyle11"/>
    <w:qFormat/>
    <w:uiPriority w:val="0"/>
    <w:rPr>
      <w:rFonts w:hint="default" w:ascii="TimesNewRomanPSMT" w:hAnsi="TimesNewRomanPSMT"/>
      <w:color w:val="000000"/>
      <w:sz w:val="24"/>
      <w:szCs w:val="24"/>
    </w:rPr>
  </w:style>
  <w:style w:type="character" w:customStyle="1" w:styleId="64">
    <w:name w:val="fontstyle01"/>
    <w:qFormat/>
    <w:uiPriority w:val="0"/>
    <w:rPr>
      <w:rFonts w:hint="eastAsia" w:ascii="宋体" w:hAnsi="宋体" w:eastAsia="宋体"/>
      <w:color w:val="000000"/>
      <w:sz w:val="24"/>
      <w:szCs w:val="24"/>
    </w:rPr>
  </w:style>
  <w:style w:type="character" w:customStyle="1" w:styleId="65">
    <w:name w:val="fontstyle31"/>
    <w:qFormat/>
    <w:uiPriority w:val="0"/>
    <w:rPr>
      <w:rFonts w:hint="default" w:ascii="TimesNewRomanPS-BoldMT" w:hAnsi="TimesNewRomanPS-BoldMT"/>
      <w:b/>
      <w:bCs/>
      <w:color w:val="000000"/>
      <w:sz w:val="24"/>
      <w:szCs w:val="24"/>
    </w:rPr>
  </w:style>
  <w:style w:type="character" w:customStyle="1" w:styleId="66">
    <w:name w:val="fontstyle21"/>
    <w:qFormat/>
    <w:uiPriority w:val="0"/>
    <w:rPr>
      <w:rFonts w:hint="default" w:ascii="TimesNewRomanPSMT" w:hAnsi="TimesNewRomanPSMT"/>
      <w:color w:val="000000"/>
      <w:sz w:val="24"/>
      <w:szCs w:val="24"/>
    </w:rPr>
  </w:style>
  <w:style w:type="paragraph" w:customStyle="1" w:styleId="67">
    <w:name w:val="Table Paragraph"/>
    <w:basedOn w:val="1"/>
    <w:qFormat/>
    <w:uiPriority w:val="1"/>
    <w:pPr>
      <w:autoSpaceDE w:val="0"/>
      <w:autoSpaceDN w:val="0"/>
      <w:jc w:val="left"/>
    </w:pPr>
    <w:rPr>
      <w:rFonts w:cs="宋体"/>
      <w:kern w:val="0"/>
      <w:sz w:val="22"/>
      <w:lang w:val="zh-CN" w:bidi="zh-CN"/>
    </w:rPr>
  </w:style>
  <w:style w:type="paragraph" w:customStyle="1" w:styleId="68">
    <w:name w:val="列出段落11"/>
    <w:basedOn w:val="1"/>
    <w:qFormat/>
    <w:uiPriority w:val="99"/>
    <w:pPr>
      <w:adjustRightInd w:val="0"/>
      <w:spacing w:line="360" w:lineRule="atLeast"/>
      <w:ind w:firstLine="420" w:firstLineChars="200"/>
      <w:jc w:val="left"/>
    </w:pPr>
    <w:rPr>
      <w:rFonts w:ascii="等线" w:hAnsi="等线" w:eastAsia="等线" w:cs="黑体"/>
      <w:kern w:val="0"/>
      <w:sz w:val="24"/>
      <w:szCs w:val="22"/>
    </w:rPr>
  </w:style>
  <w:style w:type="paragraph" w:customStyle="1" w:styleId="69">
    <w:name w:val="Default"/>
    <w:qFormat/>
    <w:uiPriority w:val="0"/>
    <w:pPr>
      <w:widowControl w:val="0"/>
      <w:autoSpaceDE w:val="0"/>
      <w:autoSpaceDN w:val="0"/>
      <w:adjustRightInd w:val="0"/>
    </w:pPr>
    <w:rPr>
      <w:rFonts w:ascii="宋体" w:hAnsi="宋体" w:eastAsia="宋体" w:cs="宋体"/>
      <w:color w:val="000000"/>
      <w:sz w:val="24"/>
      <w:szCs w:val="28"/>
      <w:lang w:val="en-US" w:eastAsia="zh-CN" w:bidi="ar-SA"/>
    </w:rPr>
  </w:style>
  <w:style w:type="paragraph" w:customStyle="1" w:styleId="70">
    <w:name w:val="text-tag1"/>
    <w:basedOn w:val="1"/>
    <w:qFormat/>
    <w:uiPriority w:val="0"/>
    <w:pPr>
      <w:widowControl/>
      <w:spacing w:before="100" w:beforeAutospacing="1" w:after="100" w:afterAutospacing="1"/>
      <w:jc w:val="left"/>
    </w:pPr>
    <w:rPr>
      <w:rFonts w:ascii="宋体" w:hAnsi="宋体" w:cs="宋体"/>
      <w:kern w:val="0"/>
      <w:sz w:val="24"/>
    </w:rPr>
  </w:style>
  <w:style w:type="paragraph" w:customStyle="1" w:styleId="71">
    <w:name w:val="WPSOffice手动目录 1"/>
    <w:qFormat/>
    <w:uiPriority w:val="0"/>
    <w:rPr>
      <w:rFonts w:ascii="Times New Roman" w:hAnsi="Times New Roman" w:eastAsia="宋体" w:cs="Times New Roman"/>
      <w:lang w:val="en-US" w:eastAsia="zh-CN" w:bidi="ar-SA"/>
    </w:rPr>
  </w:style>
  <w:style w:type="paragraph" w:customStyle="1" w:styleId="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74">
    <w:name w:val="font21"/>
    <w:basedOn w:val="28"/>
    <w:qFormat/>
    <w:uiPriority w:val="0"/>
    <w:rPr>
      <w:rFonts w:hint="eastAsia" w:ascii="宋体" w:hAnsi="宋体" w:eastAsia="宋体" w:cs="宋体"/>
      <w:color w:val="000000"/>
      <w:sz w:val="18"/>
      <w:szCs w:val="18"/>
      <w:u w:val="none"/>
    </w:rPr>
  </w:style>
  <w:style w:type="character" w:customStyle="1" w:styleId="75">
    <w:name w:val="font31"/>
    <w:basedOn w:val="28"/>
    <w:qFormat/>
    <w:uiPriority w:val="0"/>
    <w:rPr>
      <w:rFonts w:hint="eastAsia" w:ascii="宋体" w:hAnsi="宋体" w:eastAsia="宋体" w:cs="宋体"/>
      <w:color w:val="333333"/>
      <w:sz w:val="18"/>
      <w:szCs w:val="18"/>
      <w:u w:val="none"/>
    </w:rPr>
  </w:style>
  <w:style w:type="character" w:customStyle="1" w:styleId="76">
    <w:name w:val="font41"/>
    <w:basedOn w:val="28"/>
    <w:qFormat/>
    <w:uiPriority w:val="0"/>
    <w:rPr>
      <w:rFonts w:hint="eastAsia" w:ascii="宋体" w:hAnsi="宋体" w:eastAsia="宋体" w:cs="宋体"/>
      <w:color w:val="000000"/>
      <w:sz w:val="18"/>
      <w:szCs w:val="18"/>
      <w:u w:val="none"/>
    </w:rPr>
  </w:style>
  <w:style w:type="paragraph" w:customStyle="1" w:styleId="77">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paragraph" w:customStyle="1" w:styleId="78">
    <w:name w:val="xl31"/>
    <w:basedOn w:val="1"/>
    <w:qFormat/>
    <w:uiPriority w:val="0"/>
    <w:pPr>
      <w:widowControl/>
      <w:spacing w:before="100" w:beforeAutospacing="1" w:after="100" w:afterAutospacing="1"/>
      <w:jc w:val="center"/>
    </w:pPr>
    <w:rPr>
      <w:b/>
      <w:bCs/>
      <w:kern w:val="0"/>
      <w:sz w:val="28"/>
      <w:szCs w:val="28"/>
    </w:rPr>
  </w:style>
  <w:style w:type="paragraph" w:customStyle="1" w:styleId="79">
    <w:name w:val="_Style 1"/>
    <w:basedOn w:val="1"/>
    <w:qFormat/>
    <w:uiPriority w:val="34"/>
    <w:pPr>
      <w:spacing w:line="360" w:lineRule="auto"/>
      <w:ind w:firstLine="420"/>
    </w:pPr>
    <w:rPr>
      <w:rFonts w:ascii="Calibri" w:hAnsi="Calibri" w:eastAsiaTheme="minorEastAsia" w:cstheme="minorBidi"/>
      <w:sz w:val="24"/>
      <w:szCs w:val="22"/>
    </w:rPr>
  </w:style>
  <w:style w:type="paragraph" w:customStyle="1" w:styleId="80">
    <w:name w:val="首行缩进"/>
    <w:basedOn w:val="1"/>
    <w:qFormat/>
    <w:uiPriority w:val="99"/>
    <w:pPr>
      <w:spacing w:line="360" w:lineRule="auto"/>
      <w:ind w:firstLine="480" w:firstLineChars="200"/>
      <w:jc w:val="lef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23847</Words>
  <Characters>26084</Characters>
  <Lines>253</Lines>
  <Paragraphs>71</Paragraphs>
  <TotalTime>10</TotalTime>
  <ScaleCrop>false</ScaleCrop>
  <LinksUpToDate>false</LinksUpToDate>
  <CharactersWithSpaces>26927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2024-11-29T04:49:00Z</dcterms:created>
  <dc:creator>微软用户</dc:creator>
  <cp:lastModifiedBy>好男人就是……</cp:lastModifiedBy>
  <cp:lastPrinted>2019-10-31T07:16:00Z</cp:lastPrinted>
  <dcterms:modified xsi:type="dcterms:W3CDTF">2025-06-09T02:11:51Z</dcterms:modified>
  <dc:title>花亭路等道路绿化工程苗木比价采购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A8DA776318AF412694F61C00EB9DDF4A_13</vt:lpwstr>
  </property>
  <property fmtid="{D5CDD505-2E9C-101B-9397-08002B2CF9AE}" pid="4" name="KSOTemplateDocerSaveRecord">
    <vt:lpwstr>eyJoZGlkIjoiM2U4NzIyNGI0ZDQxOTQ2MDI3MGM4MjAyNjM1OWM2ZjMiLCJ1c2VySWQiOiI0ODA0NzU0NTcifQ==</vt:lpwstr>
  </property>
</Properties>
</file>