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7031">
      <w:pPr>
        <w:spacing w:line="520" w:lineRule="exact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附件1</w:t>
      </w:r>
    </w:p>
    <w:p w14:paraId="650528AF">
      <w:pPr>
        <w:widowControl/>
        <w:autoSpaceDN w:val="0"/>
        <w:adjustRightInd w:val="0"/>
        <w:snapToGrid w:val="0"/>
        <w:spacing w:line="520" w:lineRule="exact"/>
        <w:rPr>
          <w:rFonts w:eastAsia="方正小标宋简体"/>
          <w:kern w:val="0"/>
          <w:sz w:val="44"/>
          <w:szCs w:val="44"/>
        </w:rPr>
      </w:pPr>
    </w:p>
    <w:p w14:paraId="0B3CDBF8">
      <w:pPr>
        <w:widowControl/>
        <w:autoSpaceDN w:val="0"/>
        <w:adjustRightInd w:val="0"/>
        <w:snapToGrid w:val="0"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44"/>
          <w:szCs w:val="44"/>
          <w:lang w:bidi="ar"/>
        </w:rPr>
        <w:t>“学宪法 讲宪法”高校演讲比赛</w:t>
      </w:r>
      <w:r>
        <w:rPr>
          <w:rFonts w:eastAsia="方正小标宋简体"/>
          <w:kern w:val="0"/>
          <w:sz w:val="44"/>
          <w:szCs w:val="44"/>
          <w:lang w:bidi="ar"/>
        </w:rPr>
        <w:t>主题说明</w:t>
      </w:r>
    </w:p>
    <w:p w14:paraId="2F11C0DD">
      <w:pPr>
        <w:widowControl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 w14:paraId="2F84DE86">
      <w:pPr>
        <w:pStyle w:val="4"/>
        <w:autoSpaceDN w:val="0"/>
        <w:adjustRightInd w:val="0"/>
        <w:snapToGrid w:val="0"/>
        <w:spacing w:line="560" w:lineRule="exact"/>
        <w:ind w:firstLine="64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一、演讲</w:t>
      </w: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比赛选题参考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内容</w:t>
      </w:r>
    </w:p>
    <w:p w14:paraId="5DECC48E">
      <w:pPr>
        <w:numPr>
          <w:ilvl w:val="0"/>
          <w:numId w:val="0"/>
        </w:num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（一）党的二十大关于全面依法治国的决策部署</w:t>
      </w:r>
    </w:p>
    <w:p w14:paraId="676C7851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</w:t>
      </w:r>
      <w:r>
        <w:rPr>
          <w:rFonts w:hint="eastAsia" w:eastAsia="仿宋_GB2312"/>
          <w:sz w:val="32"/>
          <w:szCs w:val="32"/>
        </w:rPr>
        <w:t>完善以宪法为核心的中国特色社会主义法律体系；扎实推进依法行政；严格公正司法；加快建设法治社会。</w:t>
      </w:r>
    </w:p>
    <w:p w14:paraId="66299217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（二）习近平法治思想</w:t>
      </w:r>
    </w:p>
    <w:p w14:paraId="4FA4BC05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坚持党对全面依法治国的领导，坚持以人民为中心，坚持中国特色社会主义法治道路，坚持依宪治国、依宪执政，坚持在法治轨道上推进国家治理体系和治理能力现代化，坚持建设中国特色社会主义法治体系，坚持依法治国、依法执政、依法行政共同推进，法治国家、法治政府、法治社会一体建设，坚持全面推进科学立法、严格执法、公正司法、全民守法，坚持统筹推进国内法治和涉外法治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坚持建设德才兼备的高素质法治工作队伍，坚持抓住领导干部这个“关键少数”。</w:t>
      </w:r>
    </w:p>
    <w:p w14:paraId="52C7D322">
      <w:pPr>
        <w:widowControl/>
        <w:spacing w:line="560" w:lineRule="exact"/>
        <w:ind w:firstLine="64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（三）宪法与国家</w:t>
      </w:r>
    </w:p>
    <w:p w14:paraId="3488A4A2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包括：中国共产党领导是中国特色社会主义最本质的特征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宪法的性质、地位与作用</w:t>
      </w:r>
      <w:r>
        <w:rPr>
          <w:rFonts w:hint="eastAsia" w:eastAsia="仿宋_GB2312"/>
          <w:sz w:val="32"/>
          <w:szCs w:val="32"/>
        </w:rPr>
        <w:t>；宪法与中国式现代化；发展全过程人民民主，保障人民当家做主；坚定文化自信自强，铸就社会主义文化新辉煌；增进民生福祉，提高人民生活品质；推动绿色发展，促进人与自然和谐共生；中国特色社会主义</w:t>
      </w:r>
      <w:r>
        <w:rPr>
          <w:rFonts w:eastAsia="仿宋_GB2312"/>
          <w:sz w:val="32"/>
          <w:szCs w:val="32"/>
        </w:rPr>
        <w:t>道路自信、理论自信、制度自信、文化自信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把权力关进制度的笼子里</w:t>
      </w:r>
      <w:r>
        <w:rPr>
          <w:rFonts w:hint="eastAsia" w:eastAsia="仿宋_GB2312"/>
          <w:sz w:val="32"/>
          <w:szCs w:val="32"/>
        </w:rPr>
        <w:t>；国旗、国歌、国徽与首都；</w:t>
      </w:r>
      <w:r>
        <w:rPr>
          <w:rFonts w:eastAsia="仿宋_GB2312"/>
          <w:sz w:val="32"/>
          <w:szCs w:val="32"/>
        </w:rPr>
        <w:t>《香港特别行政区基本法》</w:t>
      </w:r>
      <w:r>
        <w:rPr>
          <w:rFonts w:hint="eastAsia"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澳门特别行政区基本法</w:t>
      </w:r>
      <w:r>
        <w:rPr>
          <w:rFonts w:hint="eastAsia" w:eastAsia="仿宋_GB2312"/>
          <w:sz w:val="32"/>
          <w:szCs w:val="32"/>
        </w:rPr>
        <w:t>》；坚持</w:t>
      </w:r>
      <w:r>
        <w:rPr>
          <w:rFonts w:eastAsia="仿宋_GB2312"/>
          <w:sz w:val="32"/>
          <w:szCs w:val="32"/>
        </w:rPr>
        <w:t>“一国两制”</w:t>
      </w:r>
      <w:r>
        <w:rPr>
          <w:rFonts w:hint="eastAsia" w:eastAsia="仿宋_GB2312"/>
          <w:sz w:val="32"/>
          <w:szCs w:val="32"/>
        </w:rPr>
        <w:t>，推进祖国统一；促进世界和平与发展，推动构建人类命运共同体</w:t>
      </w:r>
      <w:r>
        <w:rPr>
          <w:rFonts w:eastAsia="仿宋_GB2312"/>
          <w:sz w:val="32"/>
          <w:szCs w:val="32"/>
        </w:rPr>
        <w:t>。</w:t>
      </w:r>
    </w:p>
    <w:p w14:paraId="1A1D3ACA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（四）宪法与社会</w:t>
      </w:r>
    </w:p>
    <w:p w14:paraId="288B10CC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包括：任何组织或者个人都不得有超越宪法和法律的特权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民族平等和民族团结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社会主义的公共财产神圣不可侵犯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公民的合法的私有财产不受侵犯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社会主义市场经济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环境保护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推广普通话</w:t>
      </w:r>
      <w:r>
        <w:rPr>
          <w:rFonts w:hint="eastAsia" w:eastAsia="仿宋_GB2312"/>
          <w:sz w:val="32"/>
          <w:szCs w:val="32"/>
        </w:rPr>
        <w:t>；全面推进乡村振兴</w:t>
      </w:r>
      <w:r>
        <w:rPr>
          <w:rFonts w:eastAsia="仿宋_GB2312"/>
          <w:sz w:val="32"/>
          <w:szCs w:val="32"/>
        </w:rPr>
        <w:t>等。</w:t>
      </w:r>
    </w:p>
    <w:p w14:paraId="02707B0A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（五）宪法与个人</w:t>
      </w:r>
    </w:p>
    <w:p w14:paraId="5A18105F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包括：公民在法律面前一律平等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公民的基本权利与义务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人格尊严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受教育的权利和义务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劳动的权利与义务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公民的文化活动自由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维护国家统一和民族团结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维护祖国安全、荣誉和利益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遵纪守法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赡养与抚养等。</w:t>
      </w:r>
    </w:p>
    <w:p w14:paraId="238879BB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（六）相关法律</w:t>
      </w:r>
    </w:p>
    <w:p w14:paraId="7138CDAC">
      <w:pPr>
        <w:widowControl/>
        <w:spacing w:line="560" w:lineRule="exact"/>
        <w:ind w:firstLine="640" w:firstLineChars="200"/>
        <w:jc w:val="left"/>
      </w:pPr>
      <w:r>
        <w:rPr>
          <w:rFonts w:eastAsia="仿宋_GB2312"/>
          <w:sz w:val="32"/>
          <w:szCs w:val="32"/>
        </w:rPr>
        <w:t>包括：民法典制定与实施的意义，民法典的基本原则与基本要求，完善权利保护和救济，人格权，树立优良家风等；教育法、义务教育法等对未成年人受教育权的保护；未成年人保护法对未成年人的家庭保护、学校保护、社会保护、网络保护、政府保护、司法保护等；中华民族共同体意识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防范学生欺凌、网络诈骗、人身侵害等。</w:t>
      </w:r>
    </w:p>
    <w:p w14:paraId="30534AF8">
      <w:pPr>
        <w:autoSpaceDN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bidi="ar"/>
        </w:rPr>
        <w:t>二、</w:t>
      </w:r>
      <w:r>
        <w:rPr>
          <w:rFonts w:eastAsia="黑体"/>
          <w:bCs/>
          <w:kern w:val="0"/>
          <w:sz w:val="32"/>
          <w:szCs w:val="32"/>
        </w:rPr>
        <w:t>形式要求</w:t>
      </w:r>
    </w:p>
    <w:p w14:paraId="50846900">
      <w:pPr>
        <w:autoSpaceDN w:val="0"/>
        <w:spacing w:line="560" w:lineRule="exact"/>
        <w:ind w:firstLine="640" w:firstLineChars="200"/>
        <w:jc w:val="left"/>
        <w:rPr>
          <w:rFonts w:hint="eastAsia"/>
          <w:szCs w:val="21"/>
        </w:rPr>
      </w:pPr>
      <w:r>
        <w:rPr>
          <w:rFonts w:eastAsia="仿宋_GB2312"/>
          <w:sz w:val="32"/>
          <w:szCs w:val="32"/>
          <w:lang w:bidi="ar"/>
        </w:rPr>
        <w:t>学生须使用普通话，采用站立（因身体原因无法站立的除外）、脱稿形式独立完成演讲，演讲时长为4至6分钟（时长范围外的作品将不予评审）。</w:t>
      </w:r>
      <w:r>
        <w:rPr>
          <w:rFonts w:hint="eastAsia" w:eastAsia="仿宋_GB2312"/>
          <w:sz w:val="32"/>
          <w:szCs w:val="32"/>
          <w:lang w:bidi="ar"/>
        </w:rPr>
        <w:t>鼓励</w:t>
      </w:r>
      <w:r>
        <w:rPr>
          <w:rFonts w:eastAsia="仿宋_GB2312"/>
          <w:sz w:val="32"/>
          <w:szCs w:val="32"/>
          <w:lang w:bidi="ar"/>
        </w:rPr>
        <w:t>学生运用朴实生动鲜活的语言，讲述真情实感，展现个性风采，避免模式化与形式化表达。演讲过程中不得自我介绍、不得出现学校名称，不可使用PPT、音乐、虚拟背景或视频等多媒体素材，</w:t>
      </w:r>
      <w:r>
        <w:rPr>
          <w:rFonts w:hint="eastAsia" w:eastAsia="仿宋_GB2312"/>
          <w:sz w:val="32"/>
          <w:szCs w:val="32"/>
          <w:lang w:bidi="ar"/>
        </w:rPr>
        <w:t>不加字幕，</w:t>
      </w:r>
      <w:r>
        <w:rPr>
          <w:rFonts w:eastAsia="仿宋_GB2312"/>
          <w:sz w:val="32"/>
          <w:szCs w:val="32"/>
          <w:lang w:bidi="ar"/>
        </w:rPr>
        <w:t>不可使用其他任何辅助道具或器材，不可切换演讲场景或加入特效（包括美颜、滤镜等）。如违反上述规定，一经发现，作品将不予评审。</w:t>
      </w:r>
    </w:p>
    <w:p w14:paraId="2EC6061C">
      <w:pPr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上传视频格式须为MP4视频文件，视频画面的比例要求为16：9，分辨率建议为720P及以上。要求</w:t>
      </w:r>
      <w:r>
        <w:rPr>
          <w:rFonts w:hint="eastAsia" w:eastAsia="仿宋_GB2312"/>
          <w:sz w:val="32"/>
          <w:szCs w:val="32"/>
          <w:lang w:bidi="ar"/>
        </w:rPr>
        <w:t>高清画质、</w:t>
      </w:r>
      <w:r>
        <w:rPr>
          <w:rFonts w:eastAsia="仿宋_GB2312"/>
          <w:sz w:val="32"/>
          <w:szCs w:val="32"/>
          <w:lang w:bidi="ar"/>
        </w:rPr>
        <w:t>音画同步，声音清楚，无失真、噪声杂音干扰、音量忽大忽小等现象。</w:t>
      </w:r>
    </w:p>
    <w:p w14:paraId="009A3271">
      <w:pPr>
        <w:autoSpaceDN w:val="0"/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  <w:lang w:bidi="ar"/>
        </w:rPr>
        <w:t>三、拍摄要求</w:t>
      </w:r>
    </w:p>
    <w:p w14:paraId="0DCF75CD">
      <w:pPr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可使用手机直接拍摄后上传，也可通过其他设备拍摄后上传。拍摄场地不限，建议为光线充足、环境安静、陈设简洁的场地。视频内不得</w:t>
      </w:r>
      <w:bookmarkStart w:id="0" w:name="_GoBack"/>
      <w:bookmarkEnd w:id="0"/>
      <w:r>
        <w:rPr>
          <w:rFonts w:eastAsia="仿宋_GB2312"/>
          <w:sz w:val="32"/>
          <w:szCs w:val="32"/>
          <w:lang w:bidi="ar"/>
        </w:rPr>
        <w:t>包含学校名称、任何形式的广告、与本活动无关的商业内容及其他外部链接等。</w:t>
      </w:r>
    </w:p>
    <w:p w14:paraId="4062522F">
      <w:pPr>
        <w:autoSpaceDN w:val="0"/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  <w:lang w:bidi="ar"/>
        </w:rPr>
        <w:t>四、</w:t>
      </w:r>
      <w:r>
        <w:rPr>
          <w:rFonts w:hint="eastAsia" w:eastAsia="黑体"/>
          <w:bCs/>
          <w:kern w:val="0"/>
          <w:sz w:val="32"/>
          <w:szCs w:val="32"/>
          <w:lang w:bidi="ar"/>
        </w:rPr>
        <w:t>提交</w:t>
      </w:r>
      <w:r>
        <w:rPr>
          <w:rFonts w:eastAsia="黑体"/>
          <w:bCs/>
          <w:kern w:val="0"/>
          <w:sz w:val="32"/>
          <w:szCs w:val="32"/>
          <w:lang w:bidi="ar"/>
        </w:rPr>
        <w:t>内容</w:t>
      </w:r>
    </w:p>
    <w:p w14:paraId="79B118EC">
      <w:pPr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1.演讲视频。</w:t>
      </w:r>
    </w:p>
    <w:p w14:paraId="3B11238E">
      <w:pPr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2.与演讲内容完全一致的演讲稿件（格式为doc或docx）。</w:t>
      </w:r>
    </w:p>
    <w:p w14:paraId="0E8DB6FB">
      <w:pPr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3.</w:t>
      </w:r>
      <w:r>
        <w:rPr>
          <w:szCs w:val="21"/>
          <w:lang w:bidi="ar"/>
        </w:rPr>
        <w:t xml:space="preserve"> </w:t>
      </w:r>
      <w:r>
        <w:rPr>
          <w:rFonts w:eastAsia="仿宋_GB2312"/>
          <w:sz w:val="32"/>
          <w:szCs w:val="32"/>
          <w:lang w:bidi="ar"/>
        </w:rPr>
        <w:t>参赛选手信息表。</w:t>
      </w:r>
    </w:p>
    <w:p w14:paraId="45F3DA8A">
      <w:pPr>
        <w:autoSpaceDN w:val="0"/>
        <w:spacing w:line="560" w:lineRule="exact"/>
        <w:rPr>
          <w:rFonts w:eastAsia="仿宋_GB2312"/>
          <w:sz w:val="32"/>
          <w:szCs w:val="32"/>
        </w:rPr>
      </w:pPr>
    </w:p>
    <w:p w14:paraId="47D9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20" w:lineRule="exact"/>
        <w:textAlignment w:val="auto"/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jVlMmMwZjJjNWJiMWRhMWM3NGVhMTA4MTRjODEifQ=="/>
    <w:docVar w:name="KSO_WPS_MARK_KEY" w:val="8f915b75-b58c-473f-8441-ee0e2b25d89a"/>
  </w:docVars>
  <w:rsids>
    <w:rsidRoot w:val="501D12F5"/>
    <w:rsid w:val="172908AE"/>
    <w:rsid w:val="1809748C"/>
    <w:rsid w:val="4A9C5C8F"/>
    <w:rsid w:val="501D12F5"/>
    <w:rsid w:val="7BC5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1385</Words>
  <Characters>1401</Characters>
  <Lines>0</Lines>
  <Paragraphs>0</Paragraphs>
  <TotalTime>0</TotalTime>
  <ScaleCrop>false</ScaleCrop>
  <LinksUpToDate>false</LinksUpToDate>
  <CharactersWithSpaces>1403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若水之诚</dc:creator>
  <cp:lastModifiedBy>是TT呀</cp:lastModifiedBy>
  <dcterms:modified xsi:type="dcterms:W3CDTF">2025-05-20T03:17:48Z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47B2B793DA4E48148304DC4673A896CE_11</vt:lpwstr>
  </property>
  <property fmtid="{D5CDD505-2E9C-101B-9397-08002B2CF9AE}" pid="4" name="KSOTemplateDocerSaveRecord">
    <vt:lpwstr>eyJoZGlkIjoiN2I3ZmZkOTc3ZTZiNDRlMzE1Yzk2OGQyMTViNTgyZDEiLCJ1c2VySWQiOiIzODk3NzQxOTEifQ==</vt:lpwstr>
  </property>
</Properties>
</file>