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0F68">
      <w:pPr>
        <w:pStyle w:val="25"/>
        <w:ind w:firstLine="0" w:firstLineChars="0"/>
        <w:rPr>
          <w:rFonts w:hAnsi="宋体" w:cs="宋体"/>
          <w:b/>
          <w:bCs/>
          <w:color w:val="auto"/>
          <w:sz w:val="48"/>
          <w:szCs w:val="48"/>
          <w:highlight w:val="none"/>
        </w:rPr>
      </w:pPr>
      <w:bookmarkStart w:id="0" w:name="OLE_LINK3"/>
      <w:bookmarkStart w:id="1" w:name="OLE_LINK1"/>
      <w:bookmarkStart w:id="2" w:name="OLE_LINK4"/>
      <w:bookmarkStart w:id="3" w:name="OLE_LINK2"/>
      <w:bookmarkStart w:id="173" w:name="_GoBack"/>
    </w:p>
    <w:p w14:paraId="68D0ED0F">
      <w:pPr>
        <w:spacing w:before="162" w:beforeLines="50" w:after="162" w:afterLines="50" w:line="400" w:lineRule="atLeast"/>
        <w:jc w:val="center"/>
        <w:outlineLvl w:val="0"/>
        <w:rPr>
          <w:rFonts w:hint="eastAsia" w:hAnsi="宋体" w:cs="宋体"/>
          <w:b/>
          <w:bCs/>
          <w:color w:val="auto"/>
          <w:sz w:val="48"/>
          <w:szCs w:val="48"/>
          <w:highlight w:val="none"/>
          <w:lang w:val="en-US" w:eastAsia="zh-CN"/>
        </w:rPr>
      </w:pPr>
      <w:bookmarkStart w:id="4" w:name="_Toc11523"/>
      <w:r>
        <w:rPr>
          <w:rFonts w:hint="eastAsia" w:hAnsi="宋体" w:cs="宋体"/>
          <w:b/>
          <w:bCs/>
          <w:color w:val="auto"/>
          <w:sz w:val="48"/>
          <w:szCs w:val="48"/>
          <w:highlight w:val="none"/>
          <w:lang w:val="en-US" w:eastAsia="zh-CN"/>
        </w:rPr>
        <w:t>滁州学院会峰校区学生公寓15、16号楼监控采购及安装</w:t>
      </w:r>
    </w:p>
    <w:p w14:paraId="73634926">
      <w:pPr>
        <w:spacing w:before="162" w:beforeLines="50" w:after="162" w:afterLines="50" w:line="400" w:lineRule="atLeast"/>
        <w:jc w:val="center"/>
        <w:rPr>
          <w:rFonts w:hAnsi="宋体" w:cs="宋体"/>
          <w:b/>
          <w:bCs/>
          <w:color w:val="auto"/>
          <w:sz w:val="48"/>
          <w:szCs w:val="48"/>
          <w:highlight w:val="none"/>
        </w:rPr>
      </w:pPr>
    </w:p>
    <w:p w14:paraId="42FA1909">
      <w:pPr>
        <w:spacing w:before="162" w:beforeLines="50" w:after="162" w:afterLines="50" w:line="400" w:lineRule="atLeast"/>
        <w:jc w:val="center"/>
        <w:outlineLvl w:val="0"/>
        <w:rPr>
          <w:rFonts w:hint="eastAsia" w:ascii="宋体" w:hAnsi="宋体" w:eastAsia="宋体" w:cs="宋体"/>
          <w:b/>
          <w:bCs/>
          <w:color w:val="auto"/>
          <w:sz w:val="44"/>
          <w:highlight w:val="none"/>
          <w:lang w:eastAsia="zh-CN"/>
        </w:rPr>
      </w:pPr>
      <w:r>
        <w:rPr>
          <w:rFonts w:hint="eastAsia" w:ascii="宋体" w:hAnsi="宋体" w:cs="宋体"/>
          <w:b/>
          <w:bCs/>
          <w:color w:val="auto"/>
          <w:sz w:val="24"/>
          <w:szCs w:val="16"/>
          <w:highlight w:val="none"/>
        </w:rPr>
        <w:t>项目编号：</w:t>
      </w:r>
      <w:bookmarkEnd w:id="4"/>
      <w:r>
        <w:rPr>
          <w:rFonts w:hint="eastAsia" w:ascii="宋体" w:hAnsi="宋体" w:cs="宋体"/>
          <w:b/>
          <w:bCs/>
          <w:color w:val="auto"/>
          <w:sz w:val="24"/>
          <w:szCs w:val="16"/>
          <w:highlight w:val="none"/>
          <w:lang w:eastAsia="zh-CN"/>
        </w:rPr>
        <w:t>2025CG-011</w:t>
      </w:r>
    </w:p>
    <w:p w14:paraId="0F9F4D35">
      <w:pPr>
        <w:spacing w:line="400" w:lineRule="atLeast"/>
        <w:rPr>
          <w:rFonts w:ascii="宋体" w:hAnsi="宋体" w:cs="宋体"/>
          <w:b/>
          <w:color w:val="auto"/>
          <w:sz w:val="52"/>
          <w:szCs w:val="52"/>
          <w:highlight w:val="none"/>
        </w:rPr>
      </w:pPr>
    </w:p>
    <w:p w14:paraId="0B7F0B3F">
      <w:pPr>
        <w:jc w:val="center"/>
        <w:outlineLvl w:val="0"/>
        <w:rPr>
          <w:rFonts w:hint="eastAsia" w:ascii="宋体" w:hAnsi="宋体"/>
          <w:b/>
          <w:color w:val="auto"/>
          <w:sz w:val="84"/>
          <w:szCs w:val="84"/>
          <w:highlight w:val="none"/>
          <w:lang w:val="en-US" w:eastAsia="zh-CN"/>
        </w:rPr>
      </w:pPr>
      <w:bookmarkStart w:id="5" w:name="_Toc6456"/>
      <w:r>
        <w:rPr>
          <w:rFonts w:hint="eastAsia" w:ascii="宋体" w:hAnsi="宋体"/>
          <w:b/>
          <w:color w:val="auto"/>
          <w:sz w:val="84"/>
          <w:szCs w:val="84"/>
          <w:highlight w:val="none"/>
          <w:lang w:val="en-US" w:eastAsia="zh-CN"/>
        </w:rPr>
        <w:t>招</w:t>
      </w:r>
    </w:p>
    <w:p w14:paraId="779297B4">
      <w:pPr>
        <w:jc w:val="center"/>
        <w:outlineLvl w:val="0"/>
        <w:rPr>
          <w:rFonts w:hint="eastAsia" w:ascii="宋体" w:hAnsi="宋体"/>
          <w:b/>
          <w:color w:val="auto"/>
          <w:sz w:val="84"/>
          <w:szCs w:val="84"/>
          <w:highlight w:val="none"/>
          <w:lang w:val="en-US" w:eastAsia="zh-CN"/>
        </w:rPr>
      </w:pPr>
      <w:r>
        <w:rPr>
          <w:rFonts w:hint="eastAsia" w:ascii="宋体" w:hAnsi="宋体"/>
          <w:b/>
          <w:color w:val="auto"/>
          <w:sz w:val="84"/>
          <w:szCs w:val="84"/>
          <w:highlight w:val="none"/>
          <w:lang w:val="en-US" w:eastAsia="zh-CN"/>
        </w:rPr>
        <w:t>标</w:t>
      </w:r>
    </w:p>
    <w:p w14:paraId="33F8D203">
      <w:pPr>
        <w:jc w:val="center"/>
        <w:outlineLvl w:val="0"/>
        <w:rPr>
          <w:rFonts w:ascii="宋体" w:hAnsi="宋体"/>
          <w:b/>
          <w:color w:val="auto"/>
          <w:sz w:val="84"/>
          <w:szCs w:val="84"/>
          <w:highlight w:val="none"/>
        </w:rPr>
      </w:pPr>
      <w:r>
        <w:rPr>
          <w:rFonts w:hint="eastAsia" w:ascii="宋体" w:hAnsi="宋体"/>
          <w:b/>
          <w:color w:val="auto"/>
          <w:sz w:val="84"/>
          <w:szCs w:val="84"/>
          <w:highlight w:val="none"/>
        </w:rPr>
        <w:t>文</w:t>
      </w:r>
      <w:bookmarkEnd w:id="5"/>
    </w:p>
    <w:p w14:paraId="6B9D8684">
      <w:pPr>
        <w:jc w:val="center"/>
        <w:outlineLvl w:val="0"/>
        <w:rPr>
          <w:rFonts w:ascii="宋体"/>
          <w:color w:val="auto"/>
          <w:sz w:val="28"/>
          <w:szCs w:val="28"/>
          <w:highlight w:val="none"/>
        </w:rPr>
      </w:pPr>
      <w:bookmarkStart w:id="6" w:name="_Toc17725"/>
      <w:r>
        <w:rPr>
          <w:rFonts w:hint="eastAsia" w:ascii="宋体" w:hAnsi="宋体"/>
          <w:b/>
          <w:color w:val="auto"/>
          <w:sz w:val="84"/>
          <w:szCs w:val="84"/>
          <w:highlight w:val="none"/>
        </w:rPr>
        <w:t>件</w:t>
      </w:r>
      <w:bookmarkEnd w:id="6"/>
    </w:p>
    <w:p w14:paraId="153E7675">
      <w:pPr>
        <w:spacing w:line="480" w:lineRule="exact"/>
        <w:rPr>
          <w:rFonts w:ascii="宋体" w:hAnsi="宋体" w:cs="宋体"/>
          <w:b/>
          <w:bCs/>
          <w:color w:val="auto"/>
          <w:sz w:val="32"/>
          <w:highlight w:val="none"/>
        </w:rPr>
      </w:pPr>
    </w:p>
    <w:p w14:paraId="18532DC3">
      <w:pPr>
        <w:spacing w:line="480" w:lineRule="exact"/>
        <w:ind w:firstLine="472" w:firstLineChars="147"/>
        <w:rPr>
          <w:rFonts w:ascii="宋体" w:hAnsi="宋体" w:cs="宋体"/>
          <w:b/>
          <w:bCs/>
          <w:color w:val="auto"/>
          <w:sz w:val="32"/>
          <w:highlight w:val="none"/>
        </w:rPr>
      </w:pPr>
    </w:p>
    <w:p w14:paraId="4A0F61B7">
      <w:pPr>
        <w:spacing w:line="480" w:lineRule="exact"/>
        <w:ind w:firstLine="472" w:firstLineChars="147"/>
        <w:rPr>
          <w:rFonts w:ascii="宋体" w:hAnsi="宋体" w:cs="宋体"/>
          <w:b/>
          <w:bCs/>
          <w:color w:val="auto"/>
          <w:sz w:val="32"/>
          <w:highlight w:val="none"/>
        </w:rPr>
      </w:pPr>
    </w:p>
    <w:p w14:paraId="4B247515">
      <w:pPr>
        <w:spacing w:line="480" w:lineRule="exact"/>
        <w:ind w:firstLine="472" w:firstLineChars="147"/>
        <w:rPr>
          <w:rFonts w:ascii="宋体" w:hAnsi="宋体" w:cs="宋体"/>
          <w:b/>
          <w:bCs/>
          <w:color w:val="auto"/>
          <w:sz w:val="32"/>
          <w:highlight w:val="none"/>
        </w:rPr>
      </w:pPr>
    </w:p>
    <w:p w14:paraId="50AC8B08">
      <w:pPr>
        <w:spacing w:before="162" w:beforeLines="50" w:after="162" w:afterLines="50" w:line="440" w:lineRule="exact"/>
        <w:jc w:val="center"/>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采购人 ：</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eastAsia="zh-CN"/>
        </w:rPr>
        <w:t xml:space="preserve"> 滁州学院资产与实验室管理处</w:t>
      </w:r>
      <w:r>
        <w:rPr>
          <w:rFonts w:hint="eastAsia" w:ascii="宋体" w:hAnsi="宋体" w:cs="宋体"/>
          <w:b/>
          <w:bCs/>
          <w:color w:val="auto"/>
          <w:sz w:val="28"/>
          <w:szCs w:val="28"/>
          <w:highlight w:val="none"/>
          <w:u w:val="single"/>
        </w:rPr>
        <w:t xml:space="preserve">    （盖章）</w:t>
      </w:r>
    </w:p>
    <w:p w14:paraId="065E9B09">
      <w:pPr>
        <w:spacing w:before="162" w:beforeLines="50" w:after="162" w:afterLines="50" w:line="440" w:lineRule="exact"/>
        <w:jc w:val="center"/>
        <w:outlineLvl w:val="0"/>
        <w:rPr>
          <w:rFonts w:ascii="宋体" w:hAnsi="宋体" w:cs="宋体"/>
          <w:b/>
          <w:color w:val="auto"/>
          <w:sz w:val="28"/>
          <w:szCs w:val="28"/>
          <w:highlight w:val="none"/>
          <w:u w:val="single"/>
        </w:rPr>
      </w:pPr>
      <w:bookmarkStart w:id="7" w:name="_Toc26052"/>
      <w:r>
        <w:rPr>
          <w:rFonts w:hint="eastAsia" w:ascii="宋体" w:hAnsi="宋体" w:cs="宋体"/>
          <w:b/>
          <w:bCs/>
          <w:color w:val="auto"/>
          <w:sz w:val="28"/>
          <w:szCs w:val="28"/>
          <w:highlight w:val="none"/>
        </w:rPr>
        <w:t>采购代理机构：</w:t>
      </w:r>
      <w:r>
        <w:rPr>
          <w:rFonts w:hint="eastAsia" w:ascii="宋体" w:hAnsi="宋体" w:cs="宋体"/>
          <w:b/>
          <w:bCs/>
          <w:color w:val="auto"/>
          <w:sz w:val="28"/>
          <w:szCs w:val="28"/>
          <w:highlight w:val="none"/>
          <w:u w:val="single"/>
        </w:rPr>
        <w:t xml:space="preserve">    </w:t>
      </w:r>
      <w:r>
        <w:rPr>
          <w:rFonts w:hint="eastAsia" w:ascii="宋体" w:hAnsi="宋体" w:cs="宋体"/>
          <w:b/>
          <w:color w:val="auto"/>
          <w:sz w:val="28"/>
          <w:szCs w:val="28"/>
          <w:highlight w:val="none"/>
          <w:u w:val="single"/>
          <w:lang w:eastAsia="zh-CN"/>
        </w:rPr>
        <w:t>滁州市城投工程咨询管理有限公司</w:t>
      </w:r>
      <w:r>
        <w:rPr>
          <w:rFonts w:hint="eastAsia" w:ascii="宋体" w:hAnsi="宋体" w:cs="宋体"/>
          <w:b/>
          <w:color w:val="auto"/>
          <w:sz w:val="28"/>
          <w:szCs w:val="28"/>
          <w:highlight w:val="none"/>
          <w:u w:val="single"/>
        </w:rPr>
        <w:t xml:space="preserve">  （盖章）</w:t>
      </w:r>
      <w:bookmarkEnd w:id="7"/>
    </w:p>
    <w:p w14:paraId="766E55AC">
      <w:pPr>
        <w:spacing w:before="162" w:beforeLines="50" w:after="162" w:afterLines="50" w:line="440" w:lineRule="exact"/>
        <w:jc w:val="center"/>
        <w:rPr>
          <w:rFonts w:ascii="宋体" w:hAnsi="宋体" w:cs="宋体"/>
          <w:b/>
          <w:color w:val="auto"/>
          <w:sz w:val="32"/>
          <w:szCs w:val="32"/>
          <w:highlight w:val="none"/>
          <w:u w:val="single"/>
        </w:rPr>
      </w:pPr>
      <w:r>
        <w:rPr>
          <w:rFonts w:hint="eastAsia" w:ascii="宋体" w:hAnsi="宋体" w:cs="宋体"/>
          <w:b/>
          <w:bCs/>
          <w:color w:val="auto"/>
          <w:sz w:val="28"/>
          <w:szCs w:val="28"/>
          <w:highlight w:val="none"/>
        </w:rPr>
        <w:t>发布日期：</w:t>
      </w:r>
      <w:r>
        <w:rPr>
          <w:rFonts w:hint="eastAsia" w:ascii="宋体" w:hAnsi="宋体" w:cs="宋体"/>
          <w:b/>
          <w:color w:val="auto"/>
          <w:sz w:val="28"/>
          <w:szCs w:val="28"/>
          <w:highlight w:val="none"/>
          <w:u w:val="single"/>
        </w:rPr>
        <w:t>202</w:t>
      </w:r>
      <w:r>
        <w:rPr>
          <w:rFonts w:hint="eastAsia" w:ascii="宋体" w:hAnsi="宋体" w:cs="宋体"/>
          <w:b/>
          <w:color w:val="auto"/>
          <w:sz w:val="28"/>
          <w:szCs w:val="28"/>
          <w:highlight w:val="none"/>
          <w:u w:val="single"/>
          <w:lang w:val="en-US" w:eastAsia="zh-CN"/>
        </w:rPr>
        <w:t>5</w:t>
      </w:r>
      <w:r>
        <w:rPr>
          <w:rFonts w:hint="eastAsia" w:ascii="宋体" w:hAnsi="宋体" w:cs="宋体"/>
          <w:b/>
          <w:color w:val="auto"/>
          <w:sz w:val="28"/>
          <w:szCs w:val="28"/>
          <w:highlight w:val="none"/>
          <w:u w:val="single"/>
        </w:rPr>
        <w:t>年</w:t>
      </w:r>
      <w:r>
        <w:rPr>
          <w:rFonts w:hint="eastAsia" w:ascii="宋体" w:hAnsi="宋体" w:cs="宋体"/>
          <w:b/>
          <w:color w:val="auto"/>
          <w:sz w:val="28"/>
          <w:szCs w:val="28"/>
          <w:highlight w:val="none"/>
          <w:u w:val="single"/>
          <w:lang w:val="en-US" w:eastAsia="zh-CN"/>
        </w:rPr>
        <w:t>4</w:t>
      </w:r>
      <w:r>
        <w:rPr>
          <w:rFonts w:hint="eastAsia" w:ascii="宋体" w:hAnsi="宋体" w:cs="宋体"/>
          <w:b/>
          <w:color w:val="auto"/>
          <w:sz w:val="28"/>
          <w:szCs w:val="28"/>
          <w:highlight w:val="none"/>
          <w:u w:val="single"/>
        </w:rPr>
        <w:t>月</w:t>
      </w:r>
    </w:p>
    <w:p w14:paraId="01D9AA8A">
      <w:pPr>
        <w:adjustRightInd w:val="0"/>
        <w:snapToGrid w:val="0"/>
        <w:spacing w:line="460" w:lineRule="exact"/>
        <w:jc w:val="center"/>
        <w:rPr>
          <w:rFonts w:ascii="宋体" w:hAnsi="宋体" w:cs="宋体"/>
          <w:b/>
          <w:color w:val="auto"/>
          <w:sz w:val="32"/>
          <w:szCs w:val="32"/>
          <w:highlight w:val="none"/>
        </w:rPr>
      </w:pPr>
      <w:bookmarkStart w:id="8" w:name="_Toc23582"/>
    </w:p>
    <w:p w14:paraId="202FCF2E">
      <w:pPr>
        <w:adjustRightInd w:val="0"/>
        <w:snapToGrid w:val="0"/>
        <w:spacing w:line="460" w:lineRule="exact"/>
        <w:jc w:val="center"/>
        <w:outlineLvl w:val="0"/>
        <w:rPr>
          <w:rFonts w:hint="eastAsia" w:ascii="宋体" w:hAnsi="宋体" w:cs="宋体"/>
          <w:b/>
          <w:color w:val="auto"/>
          <w:sz w:val="32"/>
          <w:szCs w:val="32"/>
          <w:highlight w:val="none"/>
        </w:rPr>
      </w:pPr>
    </w:p>
    <w:p w14:paraId="4C196AA3">
      <w:pPr>
        <w:adjustRightInd w:val="0"/>
        <w:snapToGrid w:val="0"/>
        <w:spacing w:line="46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采购文件目录</w:t>
      </w:r>
      <w:bookmarkEnd w:id="8"/>
    </w:p>
    <w:p w14:paraId="061CC5E9">
      <w:pPr>
        <w:pStyle w:val="71"/>
        <w:tabs>
          <w:tab w:val="right" w:leader="dot" w:pos="9072"/>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"1-3" \h \u </w:instrText>
      </w:r>
      <w:r>
        <w:rPr>
          <w:rFonts w:hint="eastAsia" w:ascii="宋体" w:hAnsi="宋体" w:cs="宋体"/>
          <w:color w:val="auto"/>
          <w:sz w:val="24"/>
          <w:highlight w:val="none"/>
        </w:rPr>
        <w:fldChar w:fldCharType="separate"/>
      </w:r>
    </w:p>
    <w:p w14:paraId="18E13531">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"_Toc24626" </w:instrText>
      </w:r>
      <w:r>
        <w:rPr>
          <w:color w:val="auto"/>
          <w:highlight w:val="none"/>
        </w:rPr>
        <w:fldChar w:fldCharType="separate"/>
      </w:r>
      <w:r>
        <w:rPr>
          <w:rFonts w:hint="eastAsia" w:ascii="宋体" w:hAnsi="宋体" w:cs="宋体"/>
          <w:color w:val="auto"/>
          <w:sz w:val="21"/>
          <w:szCs w:val="21"/>
          <w:highlight w:val="none"/>
        </w:rPr>
        <w:t>采购招标公告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_Toc24626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C25F76">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"_Toc29256" </w:instrText>
      </w:r>
      <w:r>
        <w:rPr>
          <w:color w:val="auto"/>
          <w:highlight w:val="none"/>
        </w:rPr>
        <w:fldChar w:fldCharType="separate"/>
      </w:r>
      <w:r>
        <w:rPr>
          <w:rFonts w:hint="eastAsia" w:ascii="宋体" w:hAnsi="宋体" w:cs="宋体"/>
          <w:color w:val="auto"/>
          <w:sz w:val="21"/>
          <w:szCs w:val="21"/>
          <w:highlight w:val="none"/>
        </w:rPr>
        <w:t>A、投标须知前附表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_Toc29256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45D4F05B">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"_Toc16641" </w:instrText>
      </w:r>
      <w:r>
        <w:rPr>
          <w:color w:val="auto"/>
          <w:highlight w:val="none"/>
        </w:rPr>
        <w:fldChar w:fldCharType="separate"/>
      </w:r>
      <w:r>
        <w:rPr>
          <w:rFonts w:hint="eastAsia" w:ascii="宋体" w:hAnsi="宋体" w:cs="宋体"/>
          <w:color w:val="auto"/>
          <w:sz w:val="21"/>
          <w:szCs w:val="21"/>
          <w:highlight w:val="none"/>
        </w:rPr>
        <w:t>第一章  投标须知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_Toc16641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10</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515BFA2">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"_Toc16681" </w:instrText>
      </w:r>
      <w:r>
        <w:rPr>
          <w:color w:val="auto"/>
          <w:highlight w:val="none"/>
        </w:rPr>
        <w:fldChar w:fldCharType="separate"/>
      </w:r>
      <w:r>
        <w:rPr>
          <w:rFonts w:hint="eastAsia" w:ascii="宋体" w:hAnsi="宋体" w:cs="宋体"/>
          <w:bCs/>
          <w:color w:val="auto"/>
          <w:sz w:val="21"/>
          <w:szCs w:val="21"/>
          <w:highlight w:val="none"/>
        </w:rPr>
        <w:t>第二章  评标办法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_Toc16681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7E6564E4">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"_Toc27595" </w:instrText>
      </w:r>
      <w:r>
        <w:rPr>
          <w:color w:val="auto"/>
          <w:highlight w:val="none"/>
        </w:rPr>
        <w:fldChar w:fldCharType="separate"/>
      </w:r>
      <w:r>
        <w:rPr>
          <w:rFonts w:hint="eastAsia" w:ascii="宋体" w:hAnsi="宋体" w:cs="宋体"/>
          <w:color w:val="auto"/>
          <w:sz w:val="21"/>
          <w:szCs w:val="21"/>
          <w:highlight w:val="none"/>
        </w:rPr>
        <w:t>第三章  采购服务需求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_Toc27595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DC8421">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"_Toc30219" </w:instrText>
      </w:r>
      <w:r>
        <w:rPr>
          <w:color w:val="auto"/>
          <w:highlight w:val="none"/>
        </w:rPr>
        <w:fldChar w:fldCharType="separate"/>
      </w:r>
      <w:r>
        <w:rPr>
          <w:rFonts w:hint="eastAsia" w:ascii="宋体" w:hAnsi="宋体" w:cs="宋体"/>
          <w:bCs/>
          <w:color w:val="auto"/>
          <w:sz w:val="21"/>
          <w:szCs w:val="21"/>
          <w:highlight w:val="none"/>
        </w:rPr>
        <w:t>第四章  合同条款及格式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_Toc30219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30C59EDC">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"_Toc13799" </w:instrText>
      </w:r>
      <w:r>
        <w:rPr>
          <w:color w:val="auto"/>
          <w:highlight w:val="none"/>
        </w:rPr>
        <w:fldChar w:fldCharType="separate"/>
      </w:r>
      <w:r>
        <w:rPr>
          <w:rFonts w:hint="eastAsia" w:ascii="宋体" w:hAnsi="宋体" w:cs="宋体"/>
          <w:color w:val="auto"/>
          <w:sz w:val="21"/>
          <w:szCs w:val="21"/>
          <w:highlight w:val="none"/>
        </w:rPr>
        <w:t>第五章  投标文件标格式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_Toc13799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45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286C3298">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"_Toc15676" </w:instrText>
      </w:r>
      <w:r>
        <w:rPr>
          <w:color w:val="auto"/>
          <w:highlight w:val="none"/>
        </w:rPr>
        <w:fldChar w:fldCharType="separate"/>
      </w:r>
      <w:r>
        <w:rPr>
          <w:rFonts w:hint="eastAsia" w:ascii="宋体" w:hAnsi="宋体" w:cs="宋体"/>
          <w:color w:val="auto"/>
          <w:sz w:val="21"/>
          <w:szCs w:val="21"/>
          <w:highlight w:val="none"/>
        </w:rPr>
        <w:t>第六章  采购单位、招标代理机构对本采购文件的确认</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_Toc15676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59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59DDAE6F">
      <w:pPr>
        <w:rPr>
          <w:rFonts w:ascii="宋体" w:hAnsi="宋体" w:cs="宋体"/>
          <w:color w:val="auto"/>
          <w:sz w:val="24"/>
          <w:highlight w:val="none"/>
        </w:rPr>
      </w:pPr>
      <w:r>
        <w:rPr>
          <w:rFonts w:hint="eastAsia" w:ascii="宋体" w:hAnsi="宋体" w:cs="宋体"/>
          <w:color w:val="auto"/>
          <w:highlight w:val="none"/>
        </w:rPr>
        <w:fldChar w:fldCharType="end"/>
      </w:r>
    </w:p>
    <w:p w14:paraId="2879C186">
      <w:pPr>
        <w:tabs>
          <w:tab w:val="left" w:pos="9040"/>
        </w:tabs>
        <w:adjustRightInd w:val="0"/>
        <w:snapToGrid w:val="0"/>
        <w:spacing w:before="162" w:beforeLines="50" w:after="162" w:afterLines="50" w:line="600" w:lineRule="exact"/>
        <w:ind w:left="230" w:leftChars="103" w:hanging="14" w:hangingChars="6"/>
        <w:rPr>
          <w:rFonts w:ascii="宋体" w:hAnsi="宋体" w:cs="宋体"/>
          <w:color w:val="auto"/>
          <w:sz w:val="24"/>
          <w:highlight w:val="none"/>
        </w:rPr>
      </w:pPr>
    </w:p>
    <w:p w14:paraId="62020C6B">
      <w:pPr>
        <w:rPr>
          <w:rFonts w:ascii="宋体" w:hAnsi="宋体" w:cs="宋体"/>
          <w:b/>
          <w:color w:val="auto"/>
          <w:sz w:val="32"/>
          <w:highlight w:val="none"/>
        </w:rPr>
      </w:pPr>
    </w:p>
    <w:p w14:paraId="03A33D71">
      <w:pPr>
        <w:rPr>
          <w:rFonts w:ascii="宋体" w:hAnsi="宋体" w:cs="宋体"/>
          <w:b/>
          <w:color w:val="auto"/>
          <w:sz w:val="32"/>
          <w:highlight w:val="none"/>
        </w:rPr>
      </w:pPr>
    </w:p>
    <w:p w14:paraId="2878BFFD">
      <w:pPr>
        <w:rPr>
          <w:rFonts w:ascii="宋体" w:hAnsi="宋体" w:cs="宋体"/>
          <w:b/>
          <w:color w:val="auto"/>
          <w:sz w:val="32"/>
          <w:highlight w:val="none"/>
        </w:rPr>
      </w:pPr>
    </w:p>
    <w:p w14:paraId="3B6A1FA2">
      <w:pPr>
        <w:rPr>
          <w:rFonts w:ascii="宋体" w:hAnsi="宋体" w:cs="宋体"/>
          <w:b/>
          <w:color w:val="auto"/>
          <w:sz w:val="32"/>
          <w:highlight w:val="none"/>
        </w:rPr>
      </w:pPr>
    </w:p>
    <w:p w14:paraId="714C51B5">
      <w:pPr>
        <w:pStyle w:val="3"/>
        <w:keepLines w:val="0"/>
        <w:pageBreakBefore/>
        <w:spacing w:before="162" w:beforeLines="50" w:after="162" w:afterLines="50" w:line="440" w:lineRule="exact"/>
        <w:jc w:val="center"/>
        <w:rPr>
          <w:rFonts w:ascii="宋体" w:hAnsi="宋体" w:cs="宋体"/>
          <w:color w:val="auto"/>
          <w:sz w:val="32"/>
          <w:szCs w:val="32"/>
          <w:highlight w:val="none"/>
        </w:rPr>
      </w:pPr>
      <w:bookmarkStart w:id="9" w:name="_Toc24626"/>
      <w:r>
        <w:rPr>
          <w:rFonts w:hint="eastAsia" w:ascii="宋体" w:hAnsi="宋体" w:cs="宋体"/>
          <w:color w:val="auto"/>
          <w:sz w:val="32"/>
          <w:szCs w:val="32"/>
          <w:highlight w:val="none"/>
          <w:lang w:eastAsia="zh-CN"/>
        </w:rPr>
        <w:t>滁州学院会峰校区学生公寓15、16号楼监控采购及安装</w:t>
      </w:r>
      <w:r>
        <w:rPr>
          <w:rFonts w:hint="eastAsia" w:ascii="宋体" w:hAnsi="宋体" w:cs="宋体"/>
          <w:color w:val="auto"/>
          <w:sz w:val="32"/>
          <w:szCs w:val="32"/>
          <w:highlight w:val="none"/>
        </w:rPr>
        <w:t>招标公告</w:t>
      </w:r>
      <w:bookmarkEnd w:id="9"/>
    </w:p>
    <w:p w14:paraId="17E76E03">
      <w:pPr>
        <w:keepNext w:val="0"/>
        <w:keepLines w:val="0"/>
        <w:pageBreakBefore w:val="0"/>
        <w:widowControl w:val="0"/>
        <w:kinsoku/>
        <w:wordWrap w:val="0"/>
        <w:overflowPunct/>
        <w:topLinePunct w:val="0"/>
        <w:autoSpaceDE/>
        <w:autoSpaceDN/>
        <w:bidi w:val="0"/>
        <w:adjustRightInd/>
        <w:snapToGrid/>
        <w:spacing w:before="162" w:beforeLines="50" w:after="162" w:afterLines="50" w:line="440" w:lineRule="exact"/>
        <w:jc w:val="left"/>
        <w:textAlignment w:val="auto"/>
        <w:outlineLvl w:val="0"/>
        <w:rPr>
          <w:rFonts w:ascii="黑体" w:hAnsi="黑体" w:eastAsia="黑体" w:cs="黑体"/>
          <w:b/>
          <w:bCs/>
          <w:color w:val="auto"/>
          <w:szCs w:val="21"/>
          <w:highlight w:val="none"/>
        </w:rPr>
      </w:pPr>
      <w:bookmarkStart w:id="10" w:name="_Toc4542"/>
      <w:r>
        <w:rPr>
          <w:rFonts w:hint="eastAsia" w:ascii="黑体" w:hAnsi="黑体" w:eastAsia="黑体" w:cs="黑体"/>
          <w:b/>
          <w:bCs/>
          <w:color w:val="auto"/>
          <w:szCs w:val="21"/>
          <w:highlight w:val="none"/>
        </w:rPr>
        <w:t>项目概况</w:t>
      </w:r>
      <w:bookmarkEnd w:id="10"/>
    </w:p>
    <w:p w14:paraId="24743A3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eastAsia="zh-CN"/>
        </w:rPr>
        <w:t>滁州学院会峰校区学生公寓15、16号楼监控采购及安装的潜在供应商在滁州学院信息公开网（http://www.chzu.edu.cn/public/）、滁州市城投工程咨询管理有限公司官网（https://www.czctgczx.com/）获取采购文件</w:t>
      </w:r>
      <w:r>
        <w:rPr>
          <w:rFonts w:hint="eastAsia" w:ascii="宋体" w:hAnsi="宋体" w:cs="宋体"/>
          <w:color w:val="auto"/>
          <w:szCs w:val="21"/>
          <w:highlight w:val="none"/>
        </w:rPr>
        <w:t>。并于</w:t>
      </w:r>
      <w:r>
        <w:rPr>
          <w:rFonts w:hint="eastAsia" w:ascii="黑体" w:hAnsi="黑体" w:eastAsia="黑体" w:cs="黑体"/>
          <w:b/>
          <w:bCs/>
          <w:color w:val="auto"/>
          <w:szCs w:val="21"/>
          <w:highlight w:val="none"/>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5月6日09</w:t>
      </w:r>
      <w:r>
        <w:rPr>
          <w:rFonts w:hint="eastAsia" w:ascii="黑体" w:hAnsi="黑体" w:eastAsia="黑体" w:cs="黑体"/>
          <w:b/>
          <w:bCs/>
          <w:color w:val="auto"/>
          <w:szCs w:val="21"/>
          <w:highlight w:val="none"/>
        </w:rPr>
        <w:t>时00分</w:t>
      </w:r>
      <w:r>
        <w:rPr>
          <w:rFonts w:hint="eastAsia" w:ascii="宋体" w:hAnsi="宋体" w:cs="宋体"/>
          <w:color w:val="auto"/>
          <w:szCs w:val="21"/>
          <w:highlight w:val="none"/>
        </w:rPr>
        <w:t>（北京时间）前递交投标文件。</w:t>
      </w:r>
      <w:bookmarkStart w:id="11" w:name="_Toc35393790"/>
      <w:bookmarkStart w:id="12" w:name="_Toc28359079"/>
      <w:bookmarkStart w:id="13" w:name="_Toc35393621"/>
      <w:bookmarkStart w:id="14" w:name="_Toc5872"/>
      <w:bookmarkStart w:id="15" w:name="_Toc28359002"/>
      <w:bookmarkStart w:id="16" w:name="_Hlk24379207"/>
    </w:p>
    <w:p w14:paraId="19EB0523">
      <w:pPr>
        <w:spacing w:before="162" w:beforeLines="50" w:after="162" w:afterLines="50" w:line="440" w:lineRule="exact"/>
        <w:jc w:val="left"/>
        <w:outlineLvl w:val="1"/>
        <w:rPr>
          <w:rFonts w:ascii="黑体" w:hAnsi="黑体" w:eastAsia="黑体" w:cs="黑体"/>
          <w:b/>
          <w:bCs/>
          <w:color w:val="auto"/>
          <w:szCs w:val="21"/>
          <w:highlight w:val="none"/>
        </w:rPr>
      </w:pPr>
      <w:bookmarkStart w:id="17" w:name="_Toc10806"/>
      <w:r>
        <w:rPr>
          <w:rFonts w:hint="eastAsia" w:ascii="黑体" w:hAnsi="黑体" w:eastAsia="黑体" w:cs="黑体"/>
          <w:b/>
          <w:bCs/>
          <w:color w:val="auto"/>
          <w:szCs w:val="21"/>
          <w:highlight w:val="none"/>
        </w:rPr>
        <w:t>一、项目基本情况</w:t>
      </w:r>
      <w:bookmarkEnd w:id="11"/>
      <w:bookmarkEnd w:id="12"/>
      <w:bookmarkEnd w:id="13"/>
      <w:bookmarkEnd w:id="14"/>
      <w:bookmarkEnd w:id="15"/>
      <w:bookmarkEnd w:id="17"/>
    </w:p>
    <w:p w14:paraId="6830D46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highlight w:val="none"/>
          <w:lang w:eastAsia="zh-CN"/>
        </w:rPr>
        <w:t>2025CG-011</w:t>
      </w:r>
      <w:r>
        <w:rPr>
          <w:rFonts w:hint="eastAsia" w:ascii="宋体" w:hAnsi="宋体" w:cs="宋体"/>
          <w:color w:val="auto"/>
          <w:highlight w:val="none"/>
        </w:rPr>
        <w:t xml:space="preserve"> </w:t>
      </w:r>
    </w:p>
    <w:p w14:paraId="345222BB">
      <w:pPr>
        <w:pStyle w:val="2"/>
        <w:spacing w:before="0" w:line="440" w:lineRule="exact"/>
        <w:ind w:left="0" w:firstLine="420" w:firstLineChars="200"/>
        <w:rPr>
          <w:rFonts w:hint="eastAsia" w:eastAsia="宋体"/>
          <w:b w:val="0"/>
          <w:bCs w:val="0"/>
          <w:color w:val="auto"/>
          <w:kern w:val="2"/>
          <w:sz w:val="21"/>
          <w:szCs w:val="21"/>
          <w:highlight w:val="none"/>
          <w:lang w:val="en-US" w:eastAsia="zh-CN" w:bidi="ar-SA"/>
        </w:rPr>
      </w:pPr>
      <w:r>
        <w:rPr>
          <w:rFonts w:hint="eastAsia"/>
          <w:b w:val="0"/>
          <w:bCs w:val="0"/>
          <w:color w:val="auto"/>
          <w:kern w:val="2"/>
          <w:sz w:val="21"/>
          <w:szCs w:val="21"/>
          <w:highlight w:val="none"/>
          <w:lang w:val="en-US" w:bidi="ar-SA"/>
        </w:rPr>
        <w:t>项目名称：</w:t>
      </w:r>
      <w:bookmarkEnd w:id="16"/>
      <w:r>
        <w:rPr>
          <w:rFonts w:hint="eastAsia"/>
          <w:b w:val="0"/>
          <w:bCs w:val="0"/>
          <w:color w:val="auto"/>
          <w:kern w:val="2"/>
          <w:sz w:val="21"/>
          <w:szCs w:val="21"/>
          <w:highlight w:val="none"/>
          <w:lang w:val="en-US" w:eastAsia="zh-CN" w:bidi="ar-SA"/>
        </w:rPr>
        <w:t>滁州学院会峰校区学生公寓15、16号楼监控采购及安装</w:t>
      </w:r>
    </w:p>
    <w:p w14:paraId="4E0B1E33">
      <w:pPr>
        <w:pStyle w:val="2"/>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项目预算：</w:t>
      </w:r>
      <w:r>
        <w:rPr>
          <w:rFonts w:hint="eastAsia"/>
          <w:b w:val="0"/>
          <w:bCs w:val="0"/>
          <w:color w:val="auto"/>
          <w:kern w:val="2"/>
          <w:sz w:val="21"/>
          <w:szCs w:val="21"/>
          <w:highlight w:val="none"/>
          <w:lang w:val="en-US" w:eastAsia="zh-CN" w:bidi="ar-SA"/>
        </w:rPr>
        <w:t>43.44万元</w:t>
      </w:r>
    </w:p>
    <w:p w14:paraId="1B926232">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最高限价：</w:t>
      </w:r>
      <w:r>
        <w:rPr>
          <w:rFonts w:hint="eastAsia" w:ascii="宋体" w:hAnsi="宋体" w:cs="宋体"/>
          <w:color w:val="auto"/>
          <w:szCs w:val="21"/>
          <w:highlight w:val="none"/>
          <w:lang w:val="en-US" w:eastAsia="zh-CN"/>
        </w:rPr>
        <w:t>肆拾叁万肆仟肆佰元</w:t>
      </w:r>
      <w:r>
        <w:rPr>
          <w:rFonts w:hint="eastAsia" w:ascii="宋体" w:hAnsi="宋体" w:cs="宋体"/>
          <w:color w:val="auto"/>
          <w:szCs w:val="21"/>
          <w:highlight w:val="none"/>
          <w:lang w:eastAsia="zh-CN"/>
        </w:rPr>
        <w:t>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434400</w:t>
      </w:r>
      <w:r>
        <w:rPr>
          <w:rFonts w:hint="eastAsia" w:ascii="宋体" w:hAnsi="宋体" w:cs="宋体"/>
          <w:color w:val="auto"/>
          <w:szCs w:val="21"/>
          <w:highlight w:val="none"/>
        </w:rPr>
        <w:t>元）</w:t>
      </w:r>
      <w:r>
        <w:rPr>
          <w:rFonts w:hint="eastAsia" w:ascii="宋体" w:hAnsi="宋体" w:cs="宋体"/>
          <w:color w:val="auto"/>
          <w:sz w:val="22"/>
          <w:szCs w:val="22"/>
          <w:highlight w:val="none"/>
          <w:u w:color="000000"/>
        </w:rPr>
        <w:t>，</w:t>
      </w:r>
      <w:r>
        <w:rPr>
          <w:rFonts w:hint="eastAsia" w:ascii="宋体" w:hAnsi="宋体" w:eastAsia="宋体" w:cs="宋体"/>
          <w:color w:val="auto"/>
          <w:szCs w:val="21"/>
          <w:highlight w:val="none"/>
          <w:lang w:eastAsia="zh-CN"/>
        </w:rPr>
        <w:t>供应商的响应报价不得高于采购人发布的最高限价和最高综合单价，否则按无效标处理。</w:t>
      </w:r>
    </w:p>
    <w:p w14:paraId="59CDDF9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采购需求：具体详见采购文件中《采购需求及技术参数要求》。</w:t>
      </w:r>
    </w:p>
    <w:p w14:paraId="4A06C1D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lang w:eastAsia="zh-CN"/>
        </w:rPr>
        <w:t>自合同签订生效后，以采购人开工通知时间为准，50个日历天内完成货物的供货、安装、调试及验收工作</w:t>
      </w:r>
      <w:r>
        <w:rPr>
          <w:rFonts w:hint="eastAsia" w:ascii="宋体" w:hAnsi="宋体" w:cs="宋体"/>
          <w:color w:val="auto"/>
          <w:szCs w:val="21"/>
          <w:highlight w:val="none"/>
        </w:rPr>
        <w:t>；</w:t>
      </w:r>
    </w:p>
    <w:p w14:paraId="00478B8F">
      <w:pPr>
        <w:spacing w:before="162" w:beforeLines="50" w:after="162" w:afterLines="50" w:line="440" w:lineRule="exact"/>
        <w:jc w:val="left"/>
        <w:outlineLvl w:val="1"/>
        <w:rPr>
          <w:rFonts w:ascii="黑体" w:hAnsi="黑体" w:eastAsia="黑体" w:cs="黑体"/>
          <w:b/>
          <w:bCs/>
          <w:color w:val="auto"/>
          <w:szCs w:val="21"/>
          <w:highlight w:val="none"/>
        </w:rPr>
      </w:pPr>
      <w:bookmarkStart w:id="18" w:name="_Toc35393622"/>
      <w:bookmarkStart w:id="19" w:name="_Toc28359003"/>
      <w:bookmarkStart w:id="20" w:name="_Toc35393791"/>
      <w:bookmarkStart w:id="21" w:name="_Toc22650"/>
      <w:bookmarkStart w:id="22" w:name="_Toc26156"/>
      <w:bookmarkStart w:id="23" w:name="_Toc28359080"/>
      <w:r>
        <w:rPr>
          <w:rFonts w:hint="eastAsia" w:ascii="黑体" w:hAnsi="黑体" w:eastAsia="黑体" w:cs="黑体"/>
          <w:b/>
          <w:bCs/>
          <w:color w:val="auto"/>
          <w:szCs w:val="21"/>
          <w:highlight w:val="none"/>
        </w:rPr>
        <w:t>二、申请人的资格要求</w:t>
      </w:r>
      <w:bookmarkEnd w:id="18"/>
      <w:bookmarkEnd w:id="19"/>
      <w:bookmarkEnd w:id="20"/>
      <w:bookmarkEnd w:id="21"/>
      <w:bookmarkEnd w:id="22"/>
      <w:bookmarkEnd w:id="23"/>
    </w:p>
    <w:p w14:paraId="53C1ABBD">
      <w:pPr>
        <w:spacing w:line="440" w:lineRule="exact"/>
        <w:ind w:firstLine="420" w:firstLineChars="200"/>
        <w:jc w:val="left"/>
        <w:rPr>
          <w:rFonts w:ascii="宋体" w:hAnsi="宋体" w:cs="宋体"/>
          <w:color w:val="auto"/>
          <w:szCs w:val="21"/>
          <w:highlight w:val="none"/>
        </w:rPr>
      </w:pPr>
      <w:bookmarkStart w:id="24" w:name="_Toc35393623"/>
      <w:bookmarkStart w:id="25" w:name="_Toc28359004"/>
      <w:bookmarkStart w:id="26" w:name="_Toc35393792"/>
      <w:bookmarkStart w:id="27" w:name="_Toc28359081"/>
      <w:r>
        <w:rPr>
          <w:rFonts w:hint="eastAsia" w:ascii="宋体" w:hAnsi="宋体" w:cs="宋体"/>
          <w:color w:val="auto"/>
          <w:szCs w:val="21"/>
          <w:highlight w:val="none"/>
        </w:rPr>
        <w:t>1、满足《中华人民共和国政府采购法》第二十二条规定；</w:t>
      </w:r>
    </w:p>
    <w:p w14:paraId="47E653B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2、本项目不接受联合体；</w:t>
      </w:r>
    </w:p>
    <w:p w14:paraId="6A277F5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3、信誉要求：供应商不得存在以下情形：</w:t>
      </w:r>
    </w:p>
    <w:p w14:paraId="7DDFEDA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①被列入“信用中国”网站“失信被执行人”的；</w:t>
      </w:r>
    </w:p>
    <w:p w14:paraId="1BCFDAD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②被列入“信用中国”网站“重大税收违法失信主体”的；</w:t>
      </w:r>
    </w:p>
    <w:p w14:paraId="70D1F99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③被列入“信用中国”网站 “严重失信主体名单”的；</w:t>
      </w:r>
    </w:p>
    <w:p w14:paraId="225828D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④在“信用中国”网站上披露的仍在公示期的严重失信行为(具体行为类别及判定依据见“信用中国”查询的严重失信行为类别及判定依据)的。</w:t>
      </w:r>
    </w:p>
    <w:p w14:paraId="3C6430F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⑤被列入国家企业信用信息公示系统网站“经营异常名录”或者“严重违法失信名单”的。</w:t>
      </w:r>
    </w:p>
    <w:p w14:paraId="46D17D5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⑥被列入中国政府采购网站“政府采购严重违法失信行为信息记录”的。</w:t>
      </w:r>
    </w:p>
    <w:p w14:paraId="3A8DB22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⑦前三年有行贿犯罪行为的单位和个人。</w:t>
      </w:r>
    </w:p>
    <w:p w14:paraId="6E5D1D9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5.供应商所属分公司、办事处等分支机构存在第4条信誉要求①-⑦项情形之一的，接受供应商参加本项目；</w:t>
      </w:r>
    </w:p>
    <w:p w14:paraId="791A4F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备注：第4、5条按照“关于联合惩戒失信行为加强信用查询管理的通知”查询或承诺；</w:t>
      </w:r>
    </w:p>
    <w:p w14:paraId="017BCA26">
      <w:pPr>
        <w:spacing w:before="162" w:beforeLines="50" w:after="162" w:afterLines="50" w:line="440" w:lineRule="exact"/>
        <w:jc w:val="left"/>
        <w:outlineLvl w:val="1"/>
        <w:rPr>
          <w:rFonts w:ascii="黑体" w:hAnsi="黑体" w:eastAsia="黑体" w:cs="黑体"/>
          <w:b/>
          <w:bCs/>
          <w:color w:val="auto"/>
          <w:szCs w:val="21"/>
          <w:highlight w:val="none"/>
        </w:rPr>
      </w:pPr>
      <w:bookmarkStart w:id="28" w:name="_Toc15392"/>
      <w:r>
        <w:rPr>
          <w:rFonts w:hint="eastAsia" w:ascii="黑体" w:hAnsi="黑体" w:eastAsia="黑体" w:cs="黑体"/>
          <w:b/>
          <w:bCs/>
          <w:color w:val="auto"/>
          <w:szCs w:val="21"/>
          <w:highlight w:val="none"/>
        </w:rPr>
        <w:t>三、获取采购文件</w:t>
      </w:r>
      <w:bookmarkEnd w:id="28"/>
    </w:p>
    <w:p w14:paraId="0506C57C">
      <w:pPr>
        <w:spacing w:line="440" w:lineRule="exact"/>
        <w:ind w:firstLine="420" w:firstLineChars="200"/>
        <w:jc w:val="left"/>
        <w:rPr>
          <w:rFonts w:ascii="黑体" w:hAnsi="黑体" w:eastAsia="黑体" w:cs="黑体"/>
          <w:b/>
          <w:bCs/>
          <w:color w:val="auto"/>
          <w:szCs w:val="21"/>
          <w:highlight w:val="none"/>
        </w:rPr>
      </w:pPr>
      <w:r>
        <w:rPr>
          <w:rFonts w:hint="eastAsia" w:ascii="宋体" w:hAnsi="宋体" w:cs="宋体"/>
          <w:bCs/>
          <w:color w:val="auto"/>
          <w:kern w:val="0"/>
          <w:szCs w:val="21"/>
          <w:highlight w:val="none"/>
        </w:rPr>
        <w:t>获取时间：</w:t>
      </w:r>
      <w:r>
        <w:rPr>
          <w:rFonts w:hint="eastAsia" w:ascii="黑体" w:hAnsi="黑体" w:eastAsia="黑体" w:cs="黑体"/>
          <w:b/>
          <w:bCs/>
          <w:color w:val="auto"/>
          <w:szCs w:val="21"/>
          <w:highlight w:val="none"/>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4</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11</w:t>
      </w:r>
      <w:r>
        <w:rPr>
          <w:rFonts w:hint="eastAsia" w:ascii="黑体" w:hAnsi="黑体" w:eastAsia="黑体" w:cs="黑体"/>
          <w:b/>
          <w:bCs/>
          <w:color w:val="auto"/>
          <w:szCs w:val="21"/>
          <w:highlight w:val="none"/>
        </w:rPr>
        <w:t>日至202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5月6日09</w:t>
      </w:r>
      <w:r>
        <w:rPr>
          <w:rFonts w:hint="eastAsia" w:ascii="黑体" w:hAnsi="黑体" w:eastAsia="黑体" w:cs="黑体"/>
          <w:b/>
          <w:bCs/>
          <w:color w:val="auto"/>
          <w:szCs w:val="21"/>
          <w:highlight w:val="none"/>
        </w:rPr>
        <w:t>时00分</w:t>
      </w:r>
    </w:p>
    <w:p w14:paraId="6FD2E9EE">
      <w:pPr>
        <w:spacing w:line="4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获取地点：滁州市城投工程咨询管理有限公司（https://www.czctgczx.com/）。</w:t>
      </w:r>
    </w:p>
    <w:p w14:paraId="09654A88">
      <w:pPr>
        <w:pStyle w:val="4"/>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29" w:name="_Toc3822"/>
      <w:r>
        <w:rPr>
          <w:rFonts w:hint="eastAsia" w:ascii="宋体" w:hAnsi="宋体" w:eastAsia="宋体" w:cs="宋体"/>
          <w:b w:val="0"/>
          <w:color w:val="auto"/>
          <w:kern w:val="0"/>
          <w:sz w:val="21"/>
          <w:szCs w:val="21"/>
          <w:highlight w:val="none"/>
        </w:rPr>
        <w:t>发售方式：网上下载</w:t>
      </w:r>
      <w:bookmarkEnd w:id="29"/>
    </w:p>
    <w:p w14:paraId="0DE8E966">
      <w:pPr>
        <w:pStyle w:val="4"/>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0" w:name="_Toc498"/>
      <w:r>
        <w:rPr>
          <w:rFonts w:hint="eastAsia" w:ascii="宋体" w:hAnsi="宋体" w:eastAsia="宋体" w:cs="宋体"/>
          <w:b w:val="0"/>
          <w:color w:val="auto"/>
          <w:kern w:val="0"/>
          <w:sz w:val="21"/>
          <w:szCs w:val="21"/>
          <w:highlight w:val="none"/>
        </w:rPr>
        <w:t>售价：0元</w:t>
      </w:r>
      <w:bookmarkEnd w:id="30"/>
    </w:p>
    <w:p w14:paraId="3B4EA50D">
      <w:pPr>
        <w:spacing w:before="162" w:beforeLines="50" w:after="162" w:afterLines="50" w:line="440" w:lineRule="exact"/>
        <w:jc w:val="left"/>
        <w:outlineLvl w:val="1"/>
        <w:rPr>
          <w:rFonts w:ascii="黑体" w:hAnsi="黑体" w:eastAsia="黑体" w:cs="黑体"/>
          <w:b/>
          <w:bCs/>
          <w:color w:val="auto"/>
          <w:sz w:val="21"/>
          <w:szCs w:val="21"/>
          <w:highlight w:val="none"/>
        </w:rPr>
      </w:pPr>
      <w:bookmarkStart w:id="31" w:name="_Toc27215"/>
      <w:r>
        <w:rPr>
          <w:rFonts w:hint="eastAsia" w:ascii="黑体" w:hAnsi="黑体" w:eastAsia="黑体" w:cs="黑体"/>
          <w:b/>
          <w:bCs/>
          <w:color w:val="auto"/>
          <w:sz w:val="21"/>
          <w:szCs w:val="21"/>
          <w:highlight w:val="none"/>
        </w:rPr>
        <w:t>四、提交投标文件截止时间、开标时间和地点</w:t>
      </w:r>
      <w:bookmarkEnd w:id="31"/>
    </w:p>
    <w:p w14:paraId="531ECA00">
      <w:pPr>
        <w:pStyle w:val="4"/>
        <w:adjustRightInd w:val="0"/>
        <w:spacing w:before="0" w:after="0" w:line="440" w:lineRule="exact"/>
        <w:ind w:firstLine="422" w:firstLineChars="200"/>
        <w:jc w:val="left"/>
        <w:rPr>
          <w:rFonts w:ascii="宋体" w:hAnsi="宋体" w:eastAsia="宋体" w:cs="宋体"/>
          <w:b w:val="0"/>
          <w:color w:val="auto"/>
          <w:kern w:val="0"/>
          <w:sz w:val="21"/>
          <w:szCs w:val="21"/>
          <w:highlight w:val="none"/>
        </w:rPr>
      </w:pPr>
      <w:bookmarkStart w:id="32" w:name="_Toc8687"/>
      <w:r>
        <w:rPr>
          <w:rFonts w:hint="eastAsia" w:ascii="宋体" w:hAnsi="宋体" w:eastAsia="宋体" w:cs="宋体"/>
          <w:bCs w:val="0"/>
          <w:color w:val="auto"/>
          <w:kern w:val="0"/>
          <w:sz w:val="21"/>
          <w:szCs w:val="21"/>
          <w:highlight w:val="none"/>
        </w:rPr>
        <w:t>截止时间：202</w:t>
      </w:r>
      <w:r>
        <w:rPr>
          <w:rFonts w:hint="eastAsia" w:ascii="宋体" w:hAnsi="宋体" w:eastAsia="宋体" w:cs="宋体"/>
          <w:bCs w:val="0"/>
          <w:color w:val="auto"/>
          <w:kern w:val="0"/>
          <w:sz w:val="21"/>
          <w:szCs w:val="21"/>
          <w:highlight w:val="none"/>
          <w:lang w:val="en-US" w:eastAsia="zh-CN"/>
        </w:rPr>
        <w:t>5</w:t>
      </w:r>
      <w:r>
        <w:rPr>
          <w:rFonts w:hint="eastAsia" w:ascii="宋体" w:hAnsi="宋体" w:eastAsia="宋体" w:cs="宋体"/>
          <w:bCs w:val="0"/>
          <w:color w:val="auto"/>
          <w:kern w:val="0"/>
          <w:sz w:val="21"/>
          <w:szCs w:val="21"/>
          <w:highlight w:val="none"/>
        </w:rPr>
        <w:t>年5月6日</w:t>
      </w:r>
      <w:r>
        <w:rPr>
          <w:rFonts w:hint="eastAsia" w:ascii="宋体" w:hAnsi="宋体" w:eastAsia="宋体" w:cs="宋体"/>
          <w:bCs w:val="0"/>
          <w:color w:val="auto"/>
          <w:kern w:val="0"/>
          <w:sz w:val="21"/>
          <w:szCs w:val="21"/>
          <w:highlight w:val="none"/>
          <w:lang w:val="en-US" w:eastAsia="zh-CN"/>
        </w:rPr>
        <w:t>09</w:t>
      </w:r>
      <w:r>
        <w:rPr>
          <w:rFonts w:hint="eastAsia" w:ascii="宋体" w:hAnsi="宋体" w:eastAsia="宋体" w:cs="宋体"/>
          <w:bCs w:val="0"/>
          <w:color w:val="auto"/>
          <w:kern w:val="0"/>
          <w:sz w:val="21"/>
          <w:szCs w:val="21"/>
          <w:highlight w:val="none"/>
        </w:rPr>
        <w:t>时00分（北京时间）</w:t>
      </w:r>
      <w:r>
        <w:rPr>
          <w:rFonts w:hint="eastAsia" w:ascii="宋体" w:hAnsi="宋体" w:eastAsia="宋体" w:cs="宋体"/>
          <w:b w:val="0"/>
          <w:color w:val="auto"/>
          <w:kern w:val="0"/>
          <w:sz w:val="21"/>
          <w:szCs w:val="21"/>
          <w:highlight w:val="none"/>
        </w:rPr>
        <w:t>（自采购文件开始发出之日起至投标供应商提交投标文件截止之日止，不得少于20日）</w:t>
      </w:r>
      <w:bookmarkEnd w:id="32"/>
    </w:p>
    <w:p w14:paraId="076D68E9">
      <w:pPr>
        <w:pageBreakBefore w:val="0"/>
        <w:kinsoku/>
        <w:wordWrap w:val="0"/>
        <w:overflowPunct/>
        <w:topLinePunct w:val="0"/>
        <w:bidi w:val="0"/>
        <w:snapToGrid/>
        <w:spacing w:line="560" w:lineRule="exact"/>
        <w:ind w:firstLine="420" w:firstLineChars="200"/>
        <w:textAlignment w:val="auto"/>
        <w:rPr>
          <w:rFonts w:hint="default" w:ascii="宋体" w:hAnsi="宋体" w:cs="宋体"/>
          <w:color w:val="auto"/>
          <w:sz w:val="21"/>
          <w:szCs w:val="21"/>
          <w:highlight w:val="none"/>
          <w:lang w:val="en-US"/>
        </w:rPr>
      </w:pPr>
      <w:bookmarkStart w:id="33" w:name="_Toc18970"/>
      <w:r>
        <w:rPr>
          <w:rFonts w:hint="eastAsia" w:ascii="宋体" w:hAnsi="宋体" w:eastAsia="宋体" w:cs="宋体"/>
          <w:b w:val="0"/>
          <w:color w:val="auto"/>
          <w:kern w:val="0"/>
          <w:sz w:val="21"/>
          <w:szCs w:val="21"/>
          <w:highlight w:val="none"/>
        </w:rPr>
        <w:t>地点：</w:t>
      </w:r>
      <w:bookmarkEnd w:id="33"/>
      <w:r>
        <w:rPr>
          <w:rFonts w:hint="eastAsia" w:ascii="宋体" w:hAnsi="宋体" w:cs="宋体"/>
          <w:color w:val="auto"/>
          <w:sz w:val="21"/>
          <w:szCs w:val="21"/>
          <w:highlight w:val="none"/>
          <w:lang w:val="en-US" w:eastAsia="zh-CN"/>
        </w:rPr>
        <w:t>新点电子交易平台【滁州专区】9https://www.etrading.cn/BREpointSSO/login/oauth2login?regioncode=DQ_ChuZhou)</w:t>
      </w:r>
    </w:p>
    <w:p w14:paraId="0B035CCA">
      <w:pPr>
        <w:spacing w:before="162" w:beforeLines="50" w:after="162" w:afterLines="50" w:line="440" w:lineRule="exact"/>
        <w:jc w:val="left"/>
        <w:outlineLvl w:val="1"/>
        <w:rPr>
          <w:rFonts w:ascii="黑体" w:hAnsi="黑体" w:eastAsia="黑体" w:cs="黑体"/>
          <w:b/>
          <w:bCs/>
          <w:color w:val="auto"/>
          <w:sz w:val="21"/>
          <w:szCs w:val="21"/>
          <w:highlight w:val="none"/>
        </w:rPr>
      </w:pPr>
      <w:bookmarkStart w:id="34" w:name="_Toc16611"/>
      <w:r>
        <w:rPr>
          <w:rFonts w:hint="eastAsia" w:ascii="黑体" w:hAnsi="黑体" w:eastAsia="黑体" w:cs="黑体"/>
          <w:b/>
          <w:bCs/>
          <w:color w:val="auto"/>
          <w:sz w:val="21"/>
          <w:szCs w:val="21"/>
          <w:highlight w:val="none"/>
        </w:rPr>
        <w:t>五、公告期限</w:t>
      </w:r>
      <w:bookmarkEnd w:id="34"/>
    </w:p>
    <w:p w14:paraId="2DEB9FCE">
      <w:pPr>
        <w:spacing w:line="44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3F26D386">
      <w:pPr>
        <w:spacing w:line="44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次招标公告同时在滁州学院信息公开网（http://www.chzu.edu.cn/public/）、中国招标投标公共服务平台（http://www.cebpubservice.com/）、安徽省招标投标信息网（http://www.ahtba.org.cn/）、滁州市城投工程咨询管理有限公司（https://www.czctgczx.com/）上发布。</w:t>
      </w:r>
    </w:p>
    <w:p w14:paraId="20FDA884">
      <w:pPr>
        <w:spacing w:before="162" w:beforeLines="50" w:after="162" w:afterLines="50" w:line="440" w:lineRule="exact"/>
        <w:jc w:val="left"/>
        <w:outlineLvl w:val="1"/>
        <w:rPr>
          <w:rFonts w:ascii="黑体" w:hAnsi="黑体" w:eastAsia="黑体" w:cs="黑体"/>
          <w:b/>
          <w:bCs/>
          <w:color w:val="auto"/>
          <w:sz w:val="21"/>
          <w:szCs w:val="21"/>
          <w:highlight w:val="none"/>
        </w:rPr>
      </w:pPr>
      <w:bookmarkStart w:id="35" w:name="_Toc14682"/>
      <w:r>
        <w:rPr>
          <w:rFonts w:hint="eastAsia" w:ascii="黑体" w:hAnsi="黑体" w:eastAsia="黑体" w:cs="黑体"/>
          <w:b/>
          <w:bCs/>
          <w:color w:val="auto"/>
          <w:sz w:val="21"/>
          <w:szCs w:val="21"/>
          <w:highlight w:val="none"/>
        </w:rPr>
        <w:t>六、投标保证金金额及缴纳账户</w:t>
      </w:r>
      <w:bookmarkEnd w:id="35"/>
    </w:p>
    <w:p w14:paraId="3E3695C9">
      <w:pPr>
        <w:spacing w:line="440" w:lineRule="exact"/>
        <w:ind w:firstLine="420" w:firstLineChars="200"/>
        <w:jc w:val="left"/>
        <w:outlineLvl w:val="2"/>
        <w:rPr>
          <w:rFonts w:ascii="宋体" w:hAnsi="宋体" w:cs="宋体"/>
          <w:color w:val="auto"/>
          <w:szCs w:val="21"/>
          <w:highlight w:val="none"/>
        </w:rPr>
      </w:pPr>
      <w:bookmarkStart w:id="36" w:name="_Toc31095"/>
      <w:r>
        <w:rPr>
          <w:rFonts w:hint="eastAsia" w:ascii="宋体" w:hAnsi="宋体" w:cs="宋体"/>
          <w:color w:val="auto"/>
          <w:szCs w:val="21"/>
          <w:highlight w:val="none"/>
        </w:rPr>
        <w:t>1.是否要求投标供应商提交投标保证金：</w:t>
      </w:r>
      <w:bookmarkEnd w:id="36"/>
    </w:p>
    <w:p w14:paraId="4F1D24F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不要求，□要求。</w:t>
      </w:r>
    </w:p>
    <w:p w14:paraId="1759ED5A">
      <w:pPr>
        <w:spacing w:before="162" w:beforeLines="50" w:after="162" w:afterLines="50" w:line="440" w:lineRule="exact"/>
        <w:jc w:val="left"/>
        <w:outlineLvl w:val="1"/>
        <w:rPr>
          <w:rFonts w:hint="eastAsia" w:ascii="黑体" w:hAnsi="黑体" w:eastAsia="黑体" w:cs="黑体"/>
          <w:b/>
          <w:bCs/>
          <w:color w:val="auto"/>
          <w:szCs w:val="21"/>
          <w:highlight w:val="none"/>
        </w:rPr>
      </w:pPr>
      <w:bookmarkStart w:id="37" w:name="_Toc15560"/>
      <w:r>
        <w:rPr>
          <w:rFonts w:hint="eastAsia" w:ascii="黑体" w:hAnsi="黑体" w:eastAsia="黑体" w:cs="黑体"/>
          <w:b/>
          <w:bCs/>
          <w:color w:val="auto"/>
          <w:szCs w:val="21"/>
          <w:highlight w:val="none"/>
        </w:rPr>
        <w:t>七、其他补充事宜</w:t>
      </w:r>
    </w:p>
    <w:p w14:paraId="319B18EC">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请于公告发布之日起从滁州市城投工程咨询管理有限公司官网（https://www.czctgczx.com/），点击项目招标公告下方【我要投标】，登录新点电子交易平台后在【滁州专区】（https://www.etrading.cn/BREpointSSO/login/oauth2login?regioncode=DQ_ChuZhou）下载本项目采购文件。供应商自行承担因未按要求获取采购文件导致无法上传电子投标文件的风险。</w:t>
      </w:r>
    </w:p>
    <w:p w14:paraId="3CF40A32">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2F721512">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3.供应商登录新点电子交易平台【滁州专区】获取采购文件及其它资料（含澄清和补充说明等）。如在采购文件获取过程中遇到系统问题，请拨打技术支持服务热线4009280095或者网站首页在线客服。</w:t>
      </w:r>
    </w:p>
    <w:p w14:paraId="13EC9149">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4.采购文件及相关资料售价：人民币0元/套（含清单控制价、图纸及澄清答疑文件）。</w:t>
      </w:r>
    </w:p>
    <w:p w14:paraId="4F23A460">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5.本项目采用不见面开标，投标人登录滁州市城投工程咨询有限公司不见面开标系统参与网上开标（网址：http://js.etrading.cn/EpointBidOpening/bidopeninghallaction/hall/login）。</w:t>
      </w:r>
    </w:p>
    <w:p w14:paraId="5228139B">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6.供应商应在提交首次</w:t>
      </w:r>
      <w:r>
        <w:rPr>
          <w:rFonts w:hint="eastAsia" w:ascii="宋体" w:hAnsi="宋体" w:eastAsia="宋体" w:cs="宋体"/>
          <w:b w:val="0"/>
          <w:bCs w:val="0"/>
          <w:color w:val="auto"/>
          <w:szCs w:val="21"/>
          <w:highlight w:val="none"/>
          <w:lang w:eastAsia="zh-CN"/>
        </w:rPr>
        <w:t>投标文件</w:t>
      </w:r>
      <w:r>
        <w:rPr>
          <w:rFonts w:hint="eastAsia" w:ascii="宋体" w:hAnsi="宋体" w:eastAsia="宋体" w:cs="宋体"/>
          <w:b w:val="0"/>
          <w:bCs w:val="0"/>
          <w:color w:val="auto"/>
          <w:szCs w:val="21"/>
          <w:highlight w:val="none"/>
        </w:rPr>
        <w:t>截止时间之前，登录新点电子交易平台【滁州专区】上传</w:t>
      </w:r>
      <w:r>
        <w:rPr>
          <w:rFonts w:hint="eastAsia" w:ascii="宋体" w:hAnsi="宋体" w:eastAsia="宋体" w:cs="宋体"/>
          <w:b w:val="0"/>
          <w:bCs w:val="0"/>
          <w:color w:val="auto"/>
          <w:szCs w:val="21"/>
          <w:highlight w:val="none"/>
          <w:lang w:eastAsia="zh-CN"/>
        </w:rPr>
        <w:t>投标文件</w:t>
      </w:r>
      <w:r>
        <w:rPr>
          <w:rFonts w:hint="eastAsia" w:ascii="宋体" w:hAnsi="宋体" w:eastAsia="宋体" w:cs="宋体"/>
          <w:b w:val="0"/>
          <w:bCs w:val="0"/>
          <w:color w:val="auto"/>
          <w:szCs w:val="21"/>
          <w:highlight w:val="none"/>
        </w:rPr>
        <w:t>。供应商逾期上传</w:t>
      </w:r>
      <w:r>
        <w:rPr>
          <w:rFonts w:hint="eastAsia" w:ascii="宋体" w:hAnsi="宋体" w:eastAsia="宋体" w:cs="宋体"/>
          <w:b w:val="0"/>
          <w:bCs w:val="0"/>
          <w:color w:val="auto"/>
          <w:szCs w:val="21"/>
          <w:highlight w:val="none"/>
          <w:lang w:eastAsia="zh-CN"/>
        </w:rPr>
        <w:t>投标文件</w:t>
      </w:r>
      <w:r>
        <w:rPr>
          <w:rFonts w:hint="eastAsia" w:ascii="宋体" w:hAnsi="宋体" w:eastAsia="宋体" w:cs="宋体"/>
          <w:b w:val="0"/>
          <w:bCs w:val="0"/>
          <w:color w:val="auto"/>
          <w:szCs w:val="21"/>
          <w:highlight w:val="none"/>
        </w:rPr>
        <w:t>的，电子系统不予受理。</w:t>
      </w:r>
    </w:p>
    <w:p w14:paraId="446C3899">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7.供应商的联系人电话(手机)、电子邮箱等通讯方式在</w:t>
      </w:r>
      <w:r>
        <w:rPr>
          <w:rFonts w:hint="eastAsia" w:ascii="宋体" w:hAnsi="宋体" w:eastAsia="宋体" w:cs="宋体"/>
          <w:b w:val="0"/>
          <w:bCs w:val="0"/>
          <w:color w:val="auto"/>
          <w:szCs w:val="21"/>
          <w:highlight w:val="none"/>
          <w:lang w:val="en-US" w:eastAsia="zh-CN"/>
        </w:rPr>
        <w:t>投标</w:t>
      </w:r>
      <w:r>
        <w:rPr>
          <w:rFonts w:hint="eastAsia" w:ascii="宋体" w:hAnsi="宋体" w:eastAsia="宋体" w:cs="宋体"/>
          <w:b w:val="0"/>
          <w:bCs w:val="0"/>
          <w:color w:val="auto"/>
          <w:szCs w:val="21"/>
          <w:highlight w:val="none"/>
        </w:rPr>
        <w:t>过程中必须保持畅通，否则因上述原因造成的后果，责任自负。</w:t>
      </w:r>
    </w:p>
    <w:p w14:paraId="2DB13A7E">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8.本项目采用电子招投标方式，请供应商在“新点电子交易平台”常用下载专区下载“新点电子交易平台专用投标文件制作软件”、“新点驱动（安徽省互联互通版）4.1”，仔细阅读采购文件要求和相关操作手册，以免影响</w:t>
      </w:r>
      <w:r>
        <w:rPr>
          <w:rFonts w:hint="eastAsia" w:ascii="宋体" w:hAnsi="宋体" w:eastAsia="宋体" w:cs="宋体"/>
          <w:b w:val="0"/>
          <w:bCs w:val="0"/>
          <w:color w:val="auto"/>
          <w:szCs w:val="21"/>
          <w:highlight w:val="none"/>
          <w:lang w:eastAsia="zh-CN"/>
        </w:rPr>
        <w:t>投标文件</w:t>
      </w:r>
      <w:r>
        <w:rPr>
          <w:rFonts w:hint="eastAsia" w:ascii="宋体" w:hAnsi="宋体" w:eastAsia="宋体" w:cs="宋体"/>
          <w:b w:val="0"/>
          <w:bCs w:val="0"/>
          <w:color w:val="auto"/>
          <w:szCs w:val="21"/>
          <w:highlight w:val="none"/>
        </w:rPr>
        <w:t>编制，因供应商未及时关注相关信息对</w:t>
      </w:r>
      <w:r>
        <w:rPr>
          <w:rFonts w:hint="eastAsia" w:ascii="宋体" w:hAnsi="宋体" w:eastAsia="宋体" w:cs="宋体"/>
          <w:b w:val="0"/>
          <w:bCs w:val="0"/>
          <w:color w:val="auto"/>
          <w:szCs w:val="21"/>
          <w:highlight w:val="none"/>
          <w:lang w:val="en-US" w:eastAsia="zh-CN"/>
        </w:rPr>
        <w:t>投标</w:t>
      </w:r>
      <w:r>
        <w:rPr>
          <w:rFonts w:hint="eastAsia" w:ascii="宋体" w:hAnsi="宋体" w:eastAsia="宋体" w:cs="宋体"/>
          <w:b w:val="0"/>
          <w:bCs w:val="0"/>
          <w:color w:val="auto"/>
          <w:szCs w:val="21"/>
          <w:highlight w:val="none"/>
        </w:rPr>
        <w:t>造成的不利后果由其自行承担。投标软件制作工具下载：</w:t>
      </w:r>
    </w:p>
    <w:p w14:paraId="24751A18">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https://download.bqpoint.com/download/downloaddetail.html?SourceFrom=Ztb&amp;ZtbSoftXiaQuCode=0128&amp;ZtbSoftType=tballinclusive</w:t>
      </w:r>
    </w:p>
    <w:p w14:paraId="22B903FE">
      <w:pPr>
        <w:keepNext w:val="0"/>
        <w:keepLines w:val="0"/>
        <w:pageBreakBefore w:val="0"/>
        <w:widowControl w:val="0"/>
        <w:numPr>
          <w:ilvl w:val="0"/>
          <w:numId w:val="1"/>
        </w:numPr>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本项目开评标实行全流程电子化，在线完成</w:t>
      </w:r>
      <w:r>
        <w:rPr>
          <w:rFonts w:hint="eastAsia" w:ascii="宋体" w:hAnsi="宋体" w:eastAsia="宋体" w:cs="宋体"/>
          <w:b w:val="0"/>
          <w:bCs w:val="0"/>
          <w:color w:val="auto"/>
          <w:szCs w:val="21"/>
          <w:highlight w:val="none"/>
          <w:lang w:val="en-US" w:eastAsia="zh-CN"/>
        </w:rPr>
        <w:t>投标</w:t>
      </w:r>
      <w:r>
        <w:rPr>
          <w:rFonts w:hint="eastAsia" w:ascii="宋体" w:hAnsi="宋体" w:eastAsia="宋体" w:cs="宋体"/>
          <w:b w:val="0"/>
          <w:bCs w:val="0"/>
          <w:color w:val="auto"/>
          <w:szCs w:val="21"/>
          <w:highlight w:val="none"/>
        </w:rPr>
        <w:t>。开启时供应商无需到达开启现场，不接受现场解密，实行远程解密和在线询标。各供应商认真学习《新点电子交易平台投标人操作手册》，务必掌握远程解密方法和在线回复询标方法</w:t>
      </w:r>
    </w:p>
    <w:p w14:paraId="2C1F4B74">
      <w:pPr>
        <w:numPr>
          <w:ilvl w:val="0"/>
          <w:numId w:val="0"/>
        </w:numPr>
        <w:spacing w:before="162" w:beforeLines="50" w:after="162" w:afterLines="50" w:line="440" w:lineRule="exact"/>
        <w:jc w:val="left"/>
        <w:outlineLvl w:val="1"/>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八、联系方法</w:t>
      </w:r>
      <w:bookmarkEnd w:id="37"/>
    </w:p>
    <w:bookmarkEnd w:id="24"/>
    <w:bookmarkEnd w:id="25"/>
    <w:bookmarkEnd w:id="26"/>
    <w:bookmarkEnd w:id="27"/>
    <w:p w14:paraId="47D372F2">
      <w:pPr>
        <w:pageBreakBefore w:val="0"/>
        <w:kinsoku/>
        <w:wordWrap w:val="0"/>
        <w:overflowPunct/>
        <w:topLinePunct w:val="0"/>
        <w:bidi w:val="0"/>
        <w:snapToGrid/>
        <w:spacing w:line="560" w:lineRule="exact"/>
        <w:ind w:firstLine="630" w:firstLineChars="300"/>
        <w:textAlignment w:val="auto"/>
        <w:rPr>
          <w:rFonts w:hint="eastAsia" w:ascii="宋体" w:hAnsi="宋体" w:cs="宋体"/>
          <w:b/>
          <w:color w:val="auto"/>
          <w:sz w:val="21"/>
          <w:szCs w:val="21"/>
          <w:highlight w:val="none"/>
        </w:rPr>
      </w:pPr>
      <w:bookmarkStart w:id="38" w:name="_Toc29256"/>
      <w:r>
        <w:rPr>
          <w:rFonts w:hint="eastAsia" w:ascii="宋体" w:hAnsi="宋体" w:cs="宋体"/>
          <w:color w:val="auto"/>
          <w:sz w:val="21"/>
          <w:szCs w:val="21"/>
          <w:highlight w:val="none"/>
        </w:rPr>
        <w:t>1.采购人信息</w:t>
      </w:r>
    </w:p>
    <w:p w14:paraId="7E434980">
      <w:pPr>
        <w:pageBreakBefore w:val="0"/>
        <w:widowControl/>
        <w:shd w:val="clear" w:color="auto" w:fill="FFFFFF"/>
        <w:kinsoku/>
        <w:wordWrap w:val="0"/>
        <w:overflowPunct/>
        <w:topLinePunct w:val="0"/>
        <w:bidi w:val="0"/>
        <w:snapToGrid/>
        <w:spacing w:line="560" w:lineRule="exact"/>
        <w:ind w:firstLine="630" w:firstLineChars="3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u w:val="single"/>
        </w:rPr>
        <w:t>滁州学院资产与实验室管理处</w:t>
      </w:r>
    </w:p>
    <w:p w14:paraId="267FB7EE">
      <w:pPr>
        <w:pageBreakBefore w:val="0"/>
        <w:widowControl/>
        <w:shd w:val="clear" w:color="auto" w:fill="FFFFFF"/>
        <w:kinsoku/>
        <w:wordWrap w:val="0"/>
        <w:overflowPunct/>
        <w:topLinePunct w:val="0"/>
        <w:bidi w:val="0"/>
        <w:snapToGrid/>
        <w:spacing w:line="560" w:lineRule="exact"/>
        <w:ind w:firstLine="630" w:firstLineChars="3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安徽省滁州市会峰西路1号滁州学院会峰校区行政楼220室</w:t>
      </w:r>
    </w:p>
    <w:p w14:paraId="0E6BEB5B">
      <w:pPr>
        <w:pageBreakBefore w:val="0"/>
        <w:kinsoku/>
        <w:wordWrap w:val="0"/>
        <w:overflowPunct/>
        <w:topLinePunct w:val="0"/>
        <w:bidi w:val="0"/>
        <w:snapToGrid/>
        <w:spacing w:line="560" w:lineRule="exact"/>
        <w:ind w:firstLine="630" w:firstLineChars="300"/>
        <w:jc w:val="left"/>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0550-3512003</w:t>
      </w:r>
    </w:p>
    <w:p w14:paraId="0DE2590F">
      <w:pPr>
        <w:pageBreakBefore w:val="0"/>
        <w:kinsoku/>
        <w:wordWrap w:val="0"/>
        <w:overflowPunct/>
        <w:topLinePunct w:val="0"/>
        <w:bidi w:val="0"/>
        <w:snapToGrid/>
        <w:spacing w:line="560" w:lineRule="exact"/>
        <w:ind w:firstLine="630" w:firstLineChars="300"/>
        <w:jc w:val="left"/>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2.采购代理机构信息</w:t>
      </w:r>
    </w:p>
    <w:p w14:paraId="226DAB99">
      <w:pPr>
        <w:pageBreakBefore w:val="0"/>
        <w:kinsoku/>
        <w:wordWrap w:val="0"/>
        <w:overflowPunct/>
        <w:topLinePunct w:val="0"/>
        <w:bidi w:val="0"/>
        <w:snapToGrid/>
        <w:spacing w:line="560" w:lineRule="exact"/>
        <w:ind w:firstLine="630" w:firstLineChars="3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u w:val="single"/>
        </w:rPr>
        <w:t>滁州市城投工程咨询管理有限公司</w:t>
      </w:r>
    </w:p>
    <w:p w14:paraId="244F889F">
      <w:pPr>
        <w:pageBreakBefore w:val="0"/>
        <w:kinsoku/>
        <w:wordWrap w:val="0"/>
        <w:overflowPunct/>
        <w:topLinePunct w:val="0"/>
        <w:bidi w:val="0"/>
        <w:snapToGrid/>
        <w:spacing w:line="560" w:lineRule="exact"/>
        <w:ind w:firstLine="630" w:firstLineChars="3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滁州市龙蟠大道109号房产商务大厦6楼620室</w:t>
      </w:r>
    </w:p>
    <w:p w14:paraId="3A641ABF">
      <w:pPr>
        <w:pageBreakBefore w:val="0"/>
        <w:kinsoku/>
        <w:wordWrap w:val="0"/>
        <w:overflowPunct/>
        <w:topLinePunct w:val="0"/>
        <w:bidi w:val="0"/>
        <w:snapToGrid/>
        <w:spacing w:line="560" w:lineRule="exact"/>
        <w:ind w:firstLine="630" w:firstLineChars="300"/>
        <w:textAlignment w:val="auto"/>
        <w:rPr>
          <w:rFonts w:hint="eastAsia" w:ascii="宋体" w:hAnsi="宋体" w:eastAsia="宋体" w:cs="宋体"/>
          <w:color w:val="auto"/>
          <w:sz w:val="21"/>
          <w:szCs w:val="21"/>
          <w:highlight w:val="none"/>
          <w:u w:val="single"/>
          <w:lang w:eastAsia="zh-CN"/>
        </w:rPr>
      </w:pP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lang w:eastAsia="zh-CN"/>
        </w:rPr>
        <w:t>0550-3519598、15385506369</w:t>
      </w:r>
    </w:p>
    <w:p w14:paraId="78B16A64">
      <w:pPr>
        <w:pageBreakBefore w:val="0"/>
        <w:kinsoku/>
        <w:wordWrap w:val="0"/>
        <w:overflowPunct/>
        <w:topLinePunct w:val="0"/>
        <w:bidi w:val="0"/>
        <w:snapToGrid/>
        <w:spacing w:line="560" w:lineRule="exact"/>
        <w:ind w:firstLine="630" w:firstLineChars="3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3.项目联系方式</w:t>
      </w:r>
    </w:p>
    <w:p w14:paraId="7BA2FDF0">
      <w:pPr>
        <w:pStyle w:val="14"/>
        <w:pageBreakBefore w:val="0"/>
        <w:kinsoku/>
        <w:wordWrap w:val="0"/>
        <w:overflowPunct/>
        <w:topLinePunct w:val="0"/>
        <w:bidi w:val="0"/>
        <w:snapToGrid/>
        <w:spacing w:line="560" w:lineRule="exact"/>
        <w:ind w:firstLine="630" w:firstLineChars="300"/>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项目联系人：</w:t>
      </w:r>
      <w:r>
        <w:rPr>
          <w:rFonts w:hint="eastAsia" w:hAnsi="宋体" w:cs="宋体"/>
          <w:color w:val="auto"/>
          <w:sz w:val="21"/>
          <w:szCs w:val="21"/>
          <w:highlight w:val="none"/>
          <w:u w:val="single"/>
          <w:lang w:eastAsia="zh-CN"/>
        </w:rPr>
        <w:t>李老师</w:t>
      </w:r>
      <w:r>
        <w:rPr>
          <w:rFonts w:hint="eastAsia" w:hAnsi="宋体" w:cs="宋体"/>
          <w:color w:val="auto"/>
          <w:sz w:val="21"/>
          <w:szCs w:val="21"/>
          <w:highlight w:val="none"/>
          <w:u w:val="single"/>
        </w:rPr>
        <w:t>、</w:t>
      </w:r>
      <w:r>
        <w:rPr>
          <w:rFonts w:hint="eastAsia" w:hAnsi="宋体" w:cs="宋体"/>
          <w:color w:val="auto"/>
          <w:sz w:val="21"/>
          <w:szCs w:val="21"/>
          <w:highlight w:val="none"/>
          <w:u w:val="single"/>
          <w:lang w:eastAsia="zh-CN"/>
        </w:rPr>
        <w:t>毕玉</w:t>
      </w:r>
    </w:p>
    <w:p w14:paraId="51FAD594">
      <w:pPr>
        <w:pageBreakBefore w:val="0"/>
        <w:kinsoku/>
        <w:wordWrap w:val="0"/>
        <w:overflowPunct/>
        <w:topLinePunct w:val="0"/>
        <w:bidi w:val="0"/>
        <w:snapToGrid/>
        <w:spacing w:line="560" w:lineRule="exact"/>
        <w:ind w:firstLine="630" w:firstLineChars="3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电　　 话：</w:t>
      </w:r>
      <w:r>
        <w:rPr>
          <w:rFonts w:hint="eastAsia" w:ascii="宋体" w:hAnsi="宋体" w:cs="宋体"/>
          <w:color w:val="auto"/>
          <w:sz w:val="21"/>
          <w:szCs w:val="21"/>
          <w:highlight w:val="none"/>
          <w:u w:val="single"/>
        </w:rPr>
        <w:t>0550-3512003、0550-3519590</w:t>
      </w:r>
    </w:p>
    <w:p w14:paraId="150E705C">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052ECEDA">
      <w:pPr>
        <w:jc w:val="center"/>
        <w:outlineLvl w:val="0"/>
        <w:rPr>
          <w:rFonts w:ascii="宋体" w:hAnsi="宋体" w:cs="宋体"/>
          <w:b/>
          <w:color w:val="auto"/>
          <w:sz w:val="32"/>
          <w:highlight w:val="none"/>
        </w:rPr>
      </w:pPr>
      <w:r>
        <w:rPr>
          <w:rFonts w:hint="eastAsia" w:ascii="宋体" w:hAnsi="宋体" w:cs="宋体"/>
          <w:b/>
          <w:color w:val="auto"/>
          <w:sz w:val="32"/>
          <w:highlight w:val="none"/>
        </w:rPr>
        <w:t>A、投标须知前附表</w:t>
      </w:r>
      <w:bookmarkEnd w:id="38"/>
    </w:p>
    <w:tbl>
      <w:tblPr>
        <w:tblStyle w:val="26"/>
        <w:tblW w:w="10118" w:type="dxa"/>
        <w:jc w:val="center"/>
        <w:tblLayout w:type="fixed"/>
        <w:tblCellMar>
          <w:top w:w="0" w:type="dxa"/>
          <w:left w:w="0" w:type="dxa"/>
          <w:bottom w:w="0" w:type="dxa"/>
          <w:right w:w="0" w:type="dxa"/>
        </w:tblCellMar>
      </w:tblPr>
      <w:tblGrid>
        <w:gridCol w:w="802"/>
        <w:gridCol w:w="1461"/>
        <w:gridCol w:w="7855"/>
      </w:tblGrid>
      <w:tr w14:paraId="7A50C620">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C247A0">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编号</w:t>
            </w:r>
          </w:p>
        </w:tc>
        <w:tc>
          <w:tcPr>
            <w:tcW w:w="1461" w:type="dxa"/>
            <w:tcBorders>
              <w:top w:val="single" w:color="auto" w:sz="8" w:space="0"/>
              <w:left w:val="single" w:color="auto" w:sz="4" w:space="0"/>
              <w:bottom w:val="single" w:color="auto" w:sz="8" w:space="0"/>
              <w:right w:val="single" w:color="auto" w:sz="4" w:space="0"/>
            </w:tcBorders>
            <w:vAlign w:val="center"/>
          </w:tcPr>
          <w:p w14:paraId="0B42BB71">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855" w:type="dxa"/>
            <w:tcBorders>
              <w:top w:val="single" w:color="auto" w:sz="8" w:space="0"/>
              <w:left w:val="single" w:color="auto" w:sz="4" w:space="0"/>
              <w:bottom w:val="single" w:color="auto" w:sz="8" w:space="0"/>
              <w:right w:val="single" w:color="auto" w:sz="8" w:space="0"/>
            </w:tcBorders>
            <w:vAlign w:val="center"/>
          </w:tcPr>
          <w:p w14:paraId="1A1D8A56">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说明与要求</w:t>
            </w:r>
          </w:p>
        </w:tc>
      </w:tr>
      <w:tr w14:paraId="3A4A25DC">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CDC55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61" w:type="dxa"/>
            <w:tcBorders>
              <w:top w:val="single" w:color="auto" w:sz="8" w:space="0"/>
              <w:left w:val="single" w:color="auto" w:sz="4" w:space="0"/>
              <w:bottom w:val="single" w:color="auto" w:sz="8" w:space="0"/>
              <w:right w:val="single" w:color="auto" w:sz="4" w:space="0"/>
            </w:tcBorders>
            <w:vAlign w:val="center"/>
          </w:tcPr>
          <w:p w14:paraId="7C1977D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855" w:type="dxa"/>
            <w:tcBorders>
              <w:top w:val="single" w:color="auto" w:sz="8" w:space="0"/>
              <w:left w:val="single" w:color="auto" w:sz="4" w:space="0"/>
              <w:bottom w:val="single" w:color="auto" w:sz="8" w:space="0"/>
              <w:right w:val="single" w:color="auto" w:sz="8" w:space="0"/>
            </w:tcBorders>
            <w:vAlign w:val="center"/>
          </w:tcPr>
          <w:p w14:paraId="78178B5B">
            <w:pPr>
              <w:spacing w:line="440" w:lineRule="exact"/>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eastAsia="zh-CN"/>
              </w:rPr>
              <w:t>滁州学院会峰校区学生公寓15、16号楼监控采购及安装</w:t>
            </w:r>
          </w:p>
        </w:tc>
      </w:tr>
      <w:tr w14:paraId="7DF7EE4F">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99B2FE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61" w:type="dxa"/>
            <w:tcBorders>
              <w:top w:val="single" w:color="auto" w:sz="8" w:space="0"/>
              <w:left w:val="single" w:color="auto" w:sz="4" w:space="0"/>
              <w:bottom w:val="single" w:color="auto" w:sz="8" w:space="0"/>
              <w:right w:val="single" w:color="auto" w:sz="4" w:space="0"/>
            </w:tcBorders>
            <w:vAlign w:val="center"/>
          </w:tcPr>
          <w:p w14:paraId="6188A51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7855" w:type="dxa"/>
            <w:tcBorders>
              <w:top w:val="single" w:color="auto" w:sz="8" w:space="0"/>
              <w:left w:val="single" w:color="auto" w:sz="4" w:space="0"/>
              <w:bottom w:val="single" w:color="auto" w:sz="8" w:space="0"/>
              <w:right w:val="single" w:color="auto" w:sz="8" w:space="0"/>
            </w:tcBorders>
            <w:vAlign w:val="center"/>
          </w:tcPr>
          <w:p w14:paraId="5232B288">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2025CG-011</w:t>
            </w:r>
          </w:p>
        </w:tc>
      </w:tr>
      <w:tr w14:paraId="749F05AB">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B7E43E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61" w:type="dxa"/>
            <w:tcBorders>
              <w:top w:val="single" w:color="auto" w:sz="8" w:space="0"/>
              <w:left w:val="single" w:color="auto" w:sz="4" w:space="0"/>
              <w:bottom w:val="single" w:color="auto" w:sz="8" w:space="0"/>
              <w:right w:val="single" w:color="auto" w:sz="4" w:space="0"/>
            </w:tcBorders>
            <w:vAlign w:val="center"/>
          </w:tcPr>
          <w:p w14:paraId="26001B30">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服务期限</w:t>
            </w:r>
          </w:p>
        </w:tc>
        <w:tc>
          <w:tcPr>
            <w:tcW w:w="7855" w:type="dxa"/>
            <w:tcBorders>
              <w:top w:val="single" w:color="auto" w:sz="8" w:space="0"/>
              <w:left w:val="single" w:color="auto" w:sz="4" w:space="0"/>
              <w:bottom w:val="single" w:color="auto" w:sz="8" w:space="0"/>
              <w:right w:val="single" w:color="auto" w:sz="8" w:space="0"/>
            </w:tcBorders>
            <w:vAlign w:val="center"/>
          </w:tcPr>
          <w:p w14:paraId="6D1FB63C">
            <w:pPr>
              <w:spacing w:line="44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自合同签订生效后，以采购人开工通知时间为准，50个日历天内完成货物的供货、安装、调试及验收工作</w:t>
            </w:r>
            <w:r>
              <w:rPr>
                <w:rFonts w:hint="eastAsia" w:ascii="宋体" w:hAnsi="宋体" w:cs="宋体"/>
                <w:color w:val="auto"/>
                <w:szCs w:val="21"/>
                <w:highlight w:val="none"/>
              </w:rPr>
              <w:t>。</w:t>
            </w:r>
          </w:p>
        </w:tc>
      </w:tr>
      <w:tr w14:paraId="781C2674">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3A9644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61" w:type="dxa"/>
            <w:tcBorders>
              <w:top w:val="single" w:color="auto" w:sz="8" w:space="0"/>
              <w:left w:val="single" w:color="auto" w:sz="4" w:space="0"/>
              <w:bottom w:val="single" w:color="auto" w:sz="8" w:space="0"/>
              <w:right w:val="single" w:color="auto" w:sz="4" w:space="0"/>
            </w:tcBorders>
            <w:vAlign w:val="center"/>
          </w:tcPr>
          <w:p w14:paraId="64792566">
            <w:pPr>
              <w:pStyle w:val="14"/>
              <w:wordWrap w:val="0"/>
              <w:spacing w:line="440" w:lineRule="exact"/>
              <w:jc w:val="center"/>
              <w:rPr>
                <w:rFonts w:hAnsi="宋体" w:cs="宋体"/>
                <w:color w:val="auto"/>
                <w:szCs w:val="21"/>
                <w:highlight w:val="none"/>
              </w:rPr>
            </w:pPr>
            <w:r>
              <w:rPr>
                <w:rFonts w:hint="eastAsia" w:hAnsi="宋体" w:cs="宋体"/>
                <w:color w:val="auto"/>
                <w:szCs w:val="21"/>
                <w:highlight w:val="none"/>
              </w:rPr>
              <w:t>服务（供货）</w:t>
            </w:r>
          </w:p>
          <w:p w14:paraId="169CB4F1">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地点</w:t>
            </w:r>
          </w:p>
        </w:tc>
        <w:tc>
          <w:tcPr>
            <w:tcW w:w="7855" w:type="dxa"/>
            <w:tcBorders>
              <w:top w:val="single" w:color="auto" w:sz="8" w:space="0"/>
              <w:left w:val="single" w:color="auto" w:sz="4" w:space="0"/>
              <w:bottom w:val="single" w:color="auto" w:sz="8" w:space="0"/>
              <w:right w:val="single" w:color="auto" w:sz="8" w:space="0"/>
            </w:tcBorders>
            <w:vAlign w:val="center"/>
          </w:tcPr>
          <w:p w14:paraId="14D630D5">
            <w:pPr>
              <w:wordWrap w:val="0"/>
              <w:spacing w:line="440" w:lineRule="exact"/>
              <w:rPr>
                <w:rFonts w:ascii="宋体" w:hAnsi="宋体" w:cs="宋体"/>
                <w:color w:val="auto"/>
                <w:szCs w:val="21"/>
                <w:highlight w:val="none"/>
              </w:rPr>
            </w:pPr>
            <w:r>
              <w:rPr>
                <w:rFonts w:hint="eastAsia" w:ascii="宋体" w:hAnsi="宋体" w:cs="宋体"/>
                <w:color w:val="auto"/>
                <w:szCs w:val="21"/>
                <w:highlight w:val="none"/>
              </w:rPr>
              <w:t>滁州学院，采购人指定地点</w:t>
            </w:r>
          </w:p>
        </w:tc>
      </w:tr>
      <w:tr w14:paraId="6ADF03DB">
        <w:tblPrEx>
          <w:tblCellMar>
            <w:top w:w="0" w:type="dxa"/>
            <w:left w:w="0" w:type="dxa"/>
            <w:bottom w:w="0" w:type="dxa"/>
            <w:right w:w="0" w:type="dxa"/>
          </w:tblCellMar>
        </w:tblPrEx>
        <w:trPr>
          <w:trHeight w:val="1341"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AFC30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461" w:type="dxa"/>
            <w:tcBorders>
              <w:top w:val="single" w:color="auto" w:sz="8" w:space="0"/>
              <w:left w:val="single" w:color="auto" w:sz="4" w:space="0"/>
              <w:bottom w:val="single" w:color="auto" w:sz="8" w:space="0"/>
              <w:right w:val="single" w:color="auto" w:sz="4" w:space="0"/>
            </w:tcBorders>
            <w:vAlign w:val="center"/>
          </w:tcPr>
          <w:p w14:paraId="67DD3174">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采购人联系人及电话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2BBF2DB2">
            <w:pPr>
              <w:pStyle w:val="14"/>
              <w:wordWrap w:val="0"/>
              <w:spacing w:line="440" w:lineRule="exact"/>
              <w:rPr>
                <w:rFonts w:hint="eastAsia" w:hAnsi="宋体" w:eastAsia="宋体" w:cs="宋体"/>
                <w:color w:val="auto"/>
                <w:szCs w:val="21"/>
                <w:highlight w:val="none"/>
                <w:lang w:eastAsia="zh-CN"/>
              </w:rPr>
            </w:pPr>
            <w:r>
              <w:rPr>
                <w:rFonts w:hint="eastAsia" w:hAnsi="宋体" w:cs="宋体"/>
                <w:color w:val="auto"/>
                <w:szCs w:val="21"/>
                <w:highlight w:val="none"/>
              </w:rPr>
              <w:t>采购人名称：</w:t>
            </w:r>
            <w:r>
              <w:rPr>
                <w:rFonts w:hint="eastAsia" w:hAnsi="宋体" w:cs="宋体"/>
                <w:color w:val="auto"/>
                <w:szCs w:val="21"/>
                <w:highlight w:val="none"/>
                <w:lang w:eastAsia="zh-CN"/>
              </w:rPr>
              <w:t xml:space="preserve"> 滁州学院资产与实验室管理处</w:t>
            </w:r>
          </w:p>
          <w:p w14:paraId="6048D77C">
            <w:pPr>
              <w:pStyle w:val="14"/>
              <w:wordWrap w:val="0"/>
              <w:spacing w:line="440" w:lineRule="exact"/>
              <w:rPr>
                <w:rFonts w:hint="eastAsia" w:hAnsi="宋体" w:eastAsia="宋体" w:cs="宋体"/>
                <w:color w:val="auto"/>
                <w:szCs w:val="21"/>
                <w:highlight w:val="none"/>
                <w:lang w:eastAsia="zh-CN"/>
              </w:rPr>
            </w:pPr>
            <w:r>
              <w:rPr>
                <w:rFonts w:hint="eastAsia" w:hAnsi="宋体" w:cs="宋体"/>
                <w:color w:val="auto"/>
                <w:szCs w:val="21"/>
                <w:highlight w:val="none"/>
              </w:rPr>
              <w:t>联系人：</w:t>
            </w:r>
            <w:r>
              <w:rPr>
                <w:rFonts w:hint="eastAsia" w:hAnsi="宋体" w:cs="宋体"/>
                <w:color w:val="auto"/>
                <w:szCs w:val="21"/>
                <w:highlight w:val="none"/>
                <w:lang w:val="en-US" w:eastAsia="zh-CN"/>
              </w:rPr>
              <w:t>李</w:t>
            </w:r>
            <w:r>
              <w:rPr>
                <w:rFonts w:hint="eastAsia" w:hAnsi="宋体" w:cs="宋体"/>
                <w:color w:val="auto"/>
                <w:szCs w:val="21"/>
                <w:highlight w:val="none"/>
                <w:lang w:eastAsia="zh-CN"/>
              </w:rPr>
              <w:t>老师</w:t>
            </w:r>
          </w:p>
          <w:p w14:paraId="657F975F">
            <w:pPr>
              <w:pStyle w:val="14"/>
              <w:wordWrap w:val="0"/>
              <w:spacing w:line="440" w:lineRule="exact"/>
              <w:rPr>
                <w:rFonts w:hAnsi="宋体" w:cs="宋体"/>
                <w:color w:val="auto"/>
                <w:szCs w:val="21"/>
                <w:highlight w:val="none"/>
              </w:rPr>
            </w:pPr>
            <w:r>
              <w:rPr>
                <w:rFonts w:hint="eastAsia" w:hAnsi="宋体" w:cs="宋体"/>
                <w:color w:val="auto"/>
                <w:szCs w:val="21"/>
                <w:highlight w:val="none"/>
              </w:rPr>
              <w:t>电话：0550-3512003</w:t>
            </w:r>
            <w:r>
              <w:rPr>
                <w:rFonts w:hint="eastAsia" w:ascii="宋体" w:hAnsi="宋体" w:cs="宋体"/>
                <w:b w:val="0"/>
                <w:color w:val="auto"/>
                <w:sz w:val="21"/>
                <w:szCs w:val="21"/>
                <w:highlight w:val="none"/>
              </w:rPr>
              <w:t>　</w:t>
            </w:r>
            <w:r>
              <w:rPr>
                <w:rFonts w:hint="eastAsia" w:hAnsi="宋体" w:cs="宋体"/>
                <w:color w:val="auto"/>
                <w:szCs w:val="21"/>
                <w:highlight w:val="none"/>
              </w:rPr>
              <w:t>　</w:t>
            </w:r>
          </w:p>
        </w:tc>
      </w:tr>
      <w:tr w14:paraId="4A225B7E">
        <w:tblPrEx>
          <w:tblCellMar>
            <w:top w:w="0" w:type="dxa"/>
            <w:left w:w="0" w:type="dxa"/>
            <w:bottom w:w="0" w:type="dxa"/>
            <w:right w:w="0" w:type="dxa"/>
          </w:tblCellMar>
        </w:tblPrEx>
        <w:trPr>
          <w:trHeight w:val="98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8A3DB6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461" w:type="dxa"/>
            <w:tcBorders>
              <w:top w:val="single" w:color="auto" w:sz="8" w:space="0"/>
              <w:left w:val="single" w:color="auto" w:sz="4" w:space="0"/>
              <w:bottom w:val="single" w:color="auto" w:sz="8" w:space="0"/>
              <w:right w:val="single" w:color="auto" w:sz="4" w:space="0"/>
            </w:tcBorders>
            <w:vAlign w:val="center"/>
          </w:tcPr>
          <w:p w14:paraId="1125A99C">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代理机构联系人及电话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6CE8844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招标代理机构名称：</w:t>
            </w:r>
            <w:r>
              <w:rPr>
                <w:rFonts w:hint="eastAsia" w:ascii="宋体" w:hAnsi="宋体" w:cs="宋体"/>
                <w:color w:val="auto"/>
                <w:szCs w:val="21"/>
                <w:highlight w:val="none"/>
                <w:lang w:eastAsia="zh-CN"/>
              </w:rPr>
              <w:t>滁州市城投工程咨询管理有限公司</w:t>
            </w:r>
            <w:r>
              <w:rPr>
                <w:rFonts w:hint="eastAsia" w:ascii="宋体" w:hAnsi="宋体" w:cs="宋体"/>
                <w:color w:val="auto"/>
                <w:szCs w:val="21"/>
                <w:highlight w:val="none"/>
              </w:rPr>
              <w:t xml:space="preserve"> </w:t>
            </w:r>
          </w:p>
          <w:p w14:paraId="2F28C535">
            <w:pPr>
              <w:autoSpaceDE w:val="0"/>
              <w:autoSpaceDN w:val="0"/>
              <w:adjustRightIn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毕玉</w:t>
            </w:r>
            <w:r>
              <w:rPr>
                <w:rFonts w:hint="eastAsia" w:ascii="宋体" w:hAnsi="宋体" w:cs="宋体"/>
                <w:color w:val="auto"/>
                <w:szCs w:val="21"/>
                <w:highlight w:val="none"/>
              </w:rPr>
              <w:t xml:space="preserve">  电话：</w:t>
            </w:r>
            <w:r>
              <w:rPr>
                <w:rFonts w:hint="eastAsia" w:ascii="宋体" w:hAnsi="宋体" w:cs="宋体"/>
                <w:color w:val="auto"/>
                <w:szCs w:val="21"/>
                <w:highlight w:val="none"/>
                <w:lang w:val="en-US" w:eastAsia="zh-CN"/>
              </w:rPr>
              <w:t>0550-3519598、15385506369</w:t>
            </w:r>
          </w:p>
        </w:tc>
      </w:tr>
      <w:tr w14:paraId="13686B58">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31CD76D">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7</w:t>
            </w:r>
          </w:p>
        </w:tc>
        <w:tc>
          <w:tcPr>
            <w:tcW w:w="1461" w:type="dxa"/>
            <w:tcBorders>
              <w:top w:val="single" w:color="auto" w:sz="8" w:space="0"/>
              <w:left w:val="single" w:color="auto" w:sz="4" w:space="0"/>
              <w:bottom w:val="single" w:color="auto" w:sz="8" w:space="0"/>
              <w:right w:val="single" w:color="auto" w:sz="4" w:space="0"/>
            </w:tcBorders>
            <w:vAlign w:val="center"/>
          </w:tcPr>
          <w:p w14:paraId="24814498">
            <w:pPr>
              <w:pStyle w:val="14"/>
              <w:wordWrap w:val="0"/>
              <w:spacing w:line="440" w:lineRule="exact"/>
              <w:jc w:val="center"/>
              <w:rPr>
                <w:rFonts w:hAnsi="宋体" w:cs="宋体"/>
                <w:color w:val="auto"/>
                <w:szCs w:val="21"/>
                <w:highlight w:val="none"/>
              </w:rPr>
            </w:pPr>
            <w:r>
              <w:rPr>
                <w:rFonts w:hint="eastAsia" w:hAnsi="宋体" w:cs="宋体"/>
                <w:color w:val="auto"/>
                <w:szCs w:val="21"/>
                <w:highlight w:val="none"/>
              </w:rPr>
              <w:t>资金来源</w:t>
            </w:r>
          </w:p>
        </w:tc>
        <w:tc>
          <w:tcPr>
            <w:tcW w:w="7855" w:type="dxa"/>
            <w:tcBorders>
              <w:top w:val="single" w:color="auto" w:sz="8" w:space="0"/>
              <w:left w:val="single" w:color="auto" w:sz="4" w:space="0"/>
              <w:bottom w:val="single" w:color="auto" w:sz="8" w:space="0"/>
              <w:right w:val="single" w:color="auto" w:sz="8" w:space="0"/>
            </w:tcBorders>
            <w:vAlign w:val="center"/>
          </w:tcPr>
          <w:p w14:paraId="0E314673">
            <w:pPr>
              <w:pStyle w:val="14"/>
              <w:wordWrap w:val="0"/>
              <w:spacing w:line="440" w:lineRule="exact"/>
              <w:rPr>
                <w:rFonts w:hAnsi="宋体" w:cs="宋体"/>
                <w:color w:val="auto"/>
                <w:szCs w:val="21"/>
                <w:highlight w:val="none"/>
              </w:rPr>
            </w:pPr>
            <w:r>
              <w:rPr>
                <w:rFonts w:hint="eastAsia" w:hAnsi="宋体" w:cs="宋体"/>
                <w:color w:val="auto"/>
                <w:szCs w:val="21"/>
                <w:highlight w:val="none"/>
              </w:rPr>
              <w:t>财政资金</w:t>
            </w:r>
          </w:p>
        </w:tc>
      </w:tr>
      <w:tr w14:paraId="34CBC123">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7EABFF9">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8</w:t>
            </w:r>
          </w:p>
        </w:tc>
        <w:tc>
          <w:tcPr>
            <w:tcW w:w="1461" w:type="dxa"/>
            <w:tcBorders>
              <w:top w:val="single" w:color="auto" w:sz="8" w:space="0"/>
              <w:left w:val="single" w:color="auto" w:sz="4" w:space="0"/>
              <w:bottom w:val="single" w:color="auto" w:sz="8" w:space="0"/>
              <w:right w:val="single" w:color="auto" w:sz="4" w:space="0"/>
            </w:tcBorders>
            <w:vAlign w:val="center"/>
          </w:tcPr>
          <w:p w14:paraId="73D3855A">
            <w:pPr>
              <w:pStyle w:val="14"/>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采购预算</w:t>
            </w:r>
          </w:p>
        </w:tc>
        <w:tc>
          <w:tcPr>
            <w:tcW w:w="7855" w:type="dxa"/>
            <w:tcBorders>
              <w:top w:val="single" w:color="auto" w:sz="8" w:space="0"/>
              <w:left w:val="single" w:color="auto" w:sz="4" w:space="0"/>
              <w:bottom w:val="single" w:color="auto" w:sz="8" w:space="0"/>
              <w:right w:val="single" w:color="auto" w:sz="8" w:space="0"/>
            </w:tcBorders>
            <w:vAlign w:val="center"/>
          </w:tcPr>
          <w:p w14:paraId="14AFBBFE">
            <w:pPr>
              <w:pStyle w:val="14"/>
              <w:wordWrap w:val="0"/>
              <w:spacing w:line="440" w:lineRule="exact"/>
              <w:rPr>
                <w:rFonts w:hAnsi="宋体" w:cs="宋体"/>
                <w:b/>
                <w:bCs/>
                <w:color w:val="auto"/>
                <w:szCs w:val="21"/>
                <w:highlight w:val="none"/>
              </w:rPr>
            </w:pPr>
            <w:r>
              <w:rPr>
                <w:rFonts w:hint="eastAsia" w:hAnsi="宋体" w:cs="宋体"/>
                <w:b/>
                <w:bCs/>
                <w:color w:val="auto"/>
                <w:szCs w:val="21"/>
                <w:highlight w:val="none"/>
                <w:lang w:val="en-US" w:eastAsia="zh-CN"/>
              </w:rPr>
              <w:t>434400</w:t>
            </w:r>
            <w:r>
              <w:rPr>
                <w:rFonts w:hint="eastAsia" w:hAnsi="宋体" w:cs="宋体"/>
                <w:b/>
                <w:bCs/>
                <w:color w:val="auto"/>
                <w:szCs w:val="21"/>
                <w:highlight w:val="none"/>
              </w:rPr>
              <w:t>元。</w:t>
            </w:r>
          </w:p>
        </w:tc>
      </w:tr>
      <w:tr w14:paraId="602E044B">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BD2898">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9</w:t>
            </w:r>
          </w:p>
        </w:tc>
        <w:tc>
          <w:tcPr>
            <w:tcW w:w="1461" w:type="dxa"/>
            <w:tcBorders>
              <w:top w:val="single" w:color="auto" w:sz="8" w:space="0"/>
              <w:left w:val="single" w:color="auto" w:sz="4" w:space="0"/>
              <w:bottom w:val="single" w:color="auto" w:sz="8" w:space="0"/>
              <w:right w:val="single" w:color="auto" w:sz="4" w:space="0"/>
            </w:tcBorders>
            <w:vAlign w:val="center"/>
          </w:tcPr>
          <w:p w14:paraId="7ECB10A1">
            <w:pPr>
              <w:pStyle w:val="14"/>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最高限价</w:t>
            </w:r>
          </w:p>
        </w:tc>
        <w:tc>
          <w:tcPr>
            <w:tcW w:w="7855" w:type="dxa"/>
            <w:tcBorders>
              <w:top w:val="single" w:color="auto" w:sz="8" w:space="0"/>
              <w:left w:val="single" w:color="auto" w:sz="4" w:space="0"/>
              <w:bottom w:val="single" w:color="auto" w:sz="8" w:space="0"/>
              <w:right w:val="single" w:color="auto" w:sz="8" w:space="0"/>
            </w:tcBorders>
            <w:vAlign w:val="center"/>
          </w:tcPr>
          <w:p w14:paraId="4F49E048">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lang w:val="en-US" w:eastAsia="zh-CN"/>
              </w:rPr>
              <w:t>肆拾叁万肆仟肆佰元整</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434400</w:t>
            </w:r>
            <w:r>
              <w:rPr>
                <w:rFonts w:hint="eastAsia" w:ascii="宋体" w:hAnsi="宋体" w:cs="宋体"/>
                <w:b/>
                <w:bCs/>
                <w:color w:val="auto"/>
                <w:szCs w:val="21"/>
                <w:highlight w:val="none"/>
              </w:rPr>
              <w:t>元），</w:t>
            </w:r>
            <w:r>
              <w:rPr>
                <w:rFonts w:hint="eastAsia" w:ascii="宋体" w:hAnsi="宋体" w:cs="宋体"/>
                <w:b/>
                <w:bCs/>
                <w:color w:val="auto"/>
                <w:szCs w:val="21"/>
                <w:highlight w:val="none"/>
                <w:lang w:eastAsia="zh-CN"/>
              </w:rPr>
              <w:t>供应商的响应报价不得高于采购人发布的最高限价和最高综合单价，否则按无效标处理</w:t>
            </w:r>
            <w:r>
              <w:rPr>
                <w:rFonts w:hint="eastAsia" w:ascii="宋体" w:hAnsi="宋体" w:cs="宋体"/>
                <w:b/>
                <w:bCs/>
                <w:color w:val="auto"/>
                <w:szCs w:val="21"/>
                <w:highlight w:val="none"/>
              </w:rPr>
              <w:t>。</w:t>
            </w:r>
          </w:p>
        </w:tc>
      </w:tr>
      <w:tr w14:paraId="2B64885C">
        <w:tblPrEx>
          <w:tblCellMar>
            <w:top w:w="0" w:type="dxa"/>
            <w:left w:w="0" w:type="dxa"/>
            <w:bottom w:w="0" w:type="dxa"/>
            <w:right w:w="0" w:type="dxa"/>
          </w:tblCellMar>
        </w:tblPrEx>
        <w:trPr>
          <w:trHeight w:val="1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0679EC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461" w:type="dxa"/>
            <w:tcBorders>
              <w:top w:val="single" w:color="auto" w:sz="8" w:space="0"/>
              <w:left w:val="single" w:color="auto" w:sz="4" w:space="0"/>
              <w:bottom w:val="single" w:color="auto" w:sz="8" w:space="0"/>
              <w:right w:val="single" w:color="auto" w:sz="4" w:space="0"/>
            </w:tcBorders>
            <w:vAlign w:val="center"/>
          </w:tcPr>
          <w:p w14:paraId="02439AA8">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采购需求</w:t>
            </w:r>
          </w:p>
        </w:tc>
        <w:tc>
          <w:tcPr>
            <w:tcW w:w="7855" w:type="dxa"/>
            <w:tcBorders>
              <w:top w:val="single" w:color="auto" w:sz="8" w:space="0"/>
              <w:left w:val="single" w:color="auto" w:sz="4" w:space="0"/>
              <w:bottom w:val="single" w:color="auto" w:sz="8" w:space="0"/>
              <w:right w:val="single" w:color="auto" w:sz="8" w:space="0"/>
            </w:tcBorders>
            <w:vAlign w:val="center"/>
          </w:tcPr>
          <w:p w14:paraId="7690C863">
            <w:pPr>
              <w:pStyle w:val="14"/>
              <w:wordWrap w:val="0"/>
              <w:spacing w:line="440" w:lineRule="exact"/>
              <w:rPr>
                <w:rFonts w:hAnsi="宋体" w:cs="宋体"/>
                <w:color w:val="auto"/>
                <w:kern w:val="0"/>
                <w:szCs w:val="21"/>
                <w:highlight w:val="none"/>
              </w:rPr>
            </w:pPr>
            <w:r>
              <w:rPr>
                <w:rFonts w:hint="eastAsia" w:hAnsi="宋体" w:cs="宋体"/>
                <w:color w:val="auto"/>
                <w:szCs w:val="21"/>
                <w:highlight w:val="none"/>
              </w:rPr>
              <w:t>具体详见采购文件中《采购需求及技术参数要求》。</w:t>
            </w:r>
          </w:p>
        </w:tc>
      </w:tr>
      <w:tr w14:paraId="58F9353C">
        <w:tblPrEx>
          <w:tblCellMar>
            <w:top w:w="0" w:type="dxa"/>
            <w:left w:w="0" w:type="dxa"/>
            <w:bottom w:w="0" w:type="dxa"/>
            <w:right w:w="0" w:type="dxa"/>
          </w:tblCellMar>
        </w:tblPrEx>
        <w:trPr>
          <w:trHeight w:val="2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AD00EB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461" w:type="dxa"/>
            <w:tcBorders>
              <w:top w:val="single" w:color="auto" w:sz="8" w:space="0"/>
              <w:left w:val="single" w:color="auto" w:sz="4" w:space="0"/>
              <w:bottom w:val="single" w:color="auto" w:sz="8" w:space="0"/>
              <w:right w:val="single" w:color="auto" w:sz="4" w:space="0"/>
            </w:tcBorders>
            <w:vAlign w:val="center"/>
          </w:tcPr>
          <w:p w14:paraId="2AD11510">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招标方式</w:t>
            </w:r>
          </w:p>
        </w:tc>
        <w:tc>
          <w:tcPr>
            <w:tcW w:w="7855" w:type="dxa"/>
            <w:tcBorders>
              <w:top w:val="single" w:color="auto" w:sz="8" w:space="0"/>
              <w:left w:val="single" w:color="auto" w:sz="4" w:space="0"/>
              <w:bottom w:val="single" w:color="auto" w:sz="8" w:space="0"/>
              <w:right w:val="single" w:color="auto" w:sz="8" w:space="0"/>
            </w:tcBorders>
            <w:vAlign w:val="center"/>
          </w:tcPr>
          <w:p w14:paraId="3221E273">
            <w:pPr>
              <w:pStyle w:val="14"/>
              <w:wordWrap w:val="0"/>
              <w:spacing w:line="440" w:lineRule="exact"/>
              <w:rPr>
                <w:rFonts w:hAnsi="宋体" w:cs="宋体"/>
                <w:color w:val="auto"/>
                <w:kern w:val="0"/>
                <w:szCs w:val="21"/>
                <w:highlight w:val="none"/>
              </w:rPr>
            </w:pPr>
            <w:r>
              <w:rPr>
                <w:rFonts w:hint="eastAsia" w:hAnsi="宋体" w:cs="宋体"/>
                <w:color w:val="auto"/>
                <w:szCs w:val="21"/>
                <w:highlight w:val="none"/>
              </w:rPr>
              <w:t>公开招标</w:t>
            </w:r>
          </w:p>
        </w:tc>
      </w:tr>
      <w:tr w14:paraId="3444FEB2">
        <w:tblPrEx>
          <w:tblCellMar>
            <w:top w:w="0" w:type="dxa"/>
            <w:left w:w="0" w:type="dxa"/>
            <w:bottom w:w="0" w:type="dxa"/>
            <w:right w:w="0" w:type="dxa"/>
          </w:tblCellMar>
        </w:tblPrEx>
        <w:trPr>
          <w:trHeight w:val="8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B7C285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461" w:type="dxa"/>
            <w:tcBorders>
              <w:top w:val="single" w:color="auto" w:sz="8" w:space="0"/>
              <w:left w:val="single" w:color="auto" w:sz="4" w:space="0"/>
              <w:bottom w:val="single" w:color="auto" w:sz="8" w:space="0"/>
              <w:right w:val="single" w:color="auto" w:sz="4" w:space="0"/>
            </w:tcBorders>
            <w:vAlign w:val="center"/>
          </w:tcPr>
          <w:p w14:paraId="15259BB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投标供应商资质要求</w:t>
            </w:r>
          </w:p>
        </w:tc>
        <w:tc>
          <w:tcPr>
            <w:tcW w:w="7855" w:type="dxa"/>
            <w:tcBorders>
              <w:top w:val="single" w:color="auto" w:sz="8" w:space="0"/>
              <w:left w:val="single" w:color="auto" w:sz="4" w:space="0"/>
              <w:bottom w:val="single" w:color="auto" w:sz="8" w:space="0"/>
              <w:right w:val="single" w:color="auto" w:sz="8" w:space="0"/>
            </w:tcBorders>
            <w:vAlign w:val="center"/>
          </w:tcPr>
          <w:p w14:paraId="5ED418E4">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1、满足《中华人民共和国政府采购法》第二十二条规定；</w:t>
            </w:r>
          </w:p>
          <w:p w14:paraId="09CBD95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2、本项目不接受联合体；</w:t>
            </w:r>
          </w:p>
          <w:p w14:paraId="6C5EAC4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3、信誉要求：供应商不得存在以下情形：</w:t>
            </w:r>
          </w:p>
          <w:p w14:paraId="45B5E1D2">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①被列入“信用中国”网站“失信被执行人”的；</w:t>
            </w:r>
          </w:p>
          <w:p w14:paraId="43781741">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②被列入“信用中国”网站“重大税收违法失信主体”的；</w:t>
            </w:r>
          </w:p>
          <w:p w14:paraId="0E36C0AF">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③被列入“信用中国”网站 “严重失信主体名单”的；</w:t>
            </w:r>
          </w:p>
          <w:p w14:paraId="4EA2A518">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④在“信用中国”网站上披露的仍在公示期的严重失信行为(具体行为类别及判定依据见“信用中国”查询的严重失信行为类别及判定依据)的。</w:t>
            </w:r>
          </w:p>
          <w:p w14:paraId="1BAF41B0">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⑤被列入国家企业信用信息公示系统网站“经营异常名录”或者“严重违法失信名单”的。</w:t>
            </w:r>
          </w:p>
          <w:p w14:paraId="32BD178B">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⑥被列入中国政府采购网站“政府采购严重违法失信行为信息记录”的。</w:t>
            </w:r>
          </w:p>
          <w:p w14:paraId="0E444B3B">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⑦前三年有行贿犯罪行为的单位和个人。</w:t>
            </w:r>
          </w:p>
          <w:p w14:paraId="57C6E8DD">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5.供应商所属分公司、办事处等分支机构存在第4条信誉要求①-⑦项情形之一的，接受供应商参加本项目；</w:t>
            </w:r>
          </w:p>
          <w:p w14:paraId="465B367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备注：第4、5条按照“关于联合惩戒失信行为加强信用查询管理的通知”查询或承诺；</w:t>
            </w:r>
          </w:p>
        </w:tc>
      </w:tr>
      <w:tr w14:paraId="74FA7C6C">
        <w:tblPrEx>
          <w:tblCellMar>
            <w:top w:w="0" w:type="dxa"/>
            <w:left w:w="0" w:type="dxa"/>
            <w:bottom w:w="0" w:type="dxa"/>
            <w:right w:w="0" w:type="dxa"/>
          </w:tblCellMar>
        </w:tblPrEx>
        <w:trPr>
          <w:trHeight w:val="413"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5EBC47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461" w:type="dxa"/>
            <w:tcBorders>
              <w:top w:val="single" w:color="auto" w:sz="8" w:space="0"/>
              <w:left w:val="single" w:color="auto" w:sz="4" w:space="0"/>
              <w:bottom w:val="single" w:color="auto" w:sz="8" w:space="0"/>
              <w:right w:val="single" w:color="auto" w:sz="4" w:space="0"/>
            </w:tcBorders>
            <w:vAlign w:val="bottom"/>
          </w:tcPr>
          <w:p w14:paraId="50DDB05F">
            <w:pPr>
              <w:pStyle w:val="15"/>
              <w:spacing w:line="4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w:t>
            </w:r>
          </w:p>
        </w:tc>
        <w:tc>
          <w:tcPr>
            <w:tcW w:w="7855" w:type="dxa"/>
            <w:tcBorders>
              <w:top w:val="single" w:color="auto" w:sz="8" w:space="0"/>
              <w:left w:val="single" w:color="auto" w:sz="4" w:space="0"/>
              <w:bottom w:val="single" w:color="auto" w:sz="8" w:space="0"/>
              <w:right w:val="single" w:color="auto" w:sz="8" w:space="0"/>
            </w:tcBorders>
            <w:shd w:val="clear" w:color="auto" w:fill="auto"/>
            <w:vAlign w:val="center"/>
          </w:tcPr>
          <w:p w14:paraId="478E1317">
            <w:pPr>
              <w:pageBreakBefore w:val="0"/>
              <w:kinsoku/>
              <w:wordWrap w:val="0"/>
              <w:topLinePunct w:val="0"/>
              <w:bidi w:val="0"/>
              <w:spacing w:line="500" w:lineRule="exact"/>
              <w:rPr>
                <w:rFonts w:hint="eastAsia" w:ascii="宋体" w:hAnsi="宋体" w:cs="宋体"/>
                <w:b/>
                <w:bCs/>
                <w:color w:val="auto"/>
                <w:szCs w:val="21"/>
                <w:highlight w:val="none"/>
              </w:rPr>
            </w:pPr>
            <w:r>
              <w:rPr>
                <w:rFonts w:hint="eastAsia" w:ascii="宋体" w:hAnsi="宋体" w:cs="宋体"/>
                <w:b/>
                <w:bCs/>
                <w:color w:val="auto"/>
                <w:szCs w:val="21"/>
                <w:highlight w:val="none"/>
              </w:rPr>
              <w:t>加密电子</w:t>
            </w:r>
            <w:r>
              <w:rPr>
                <w:rFonts w:hint="eastAsia" w:ascii="宋体" w:hAnsi="宋体" w:cs="宋体"/>
                <w:b/>
                <w:bCs/>
                <w:color w:val="auto"/>
                <w:szCs w:val="21"/>
                <w:highlight w:val="none"/>
                <w:lang w:val="en-US" w:eastAsia="zh-CN"/>
              </w:rPr>
              <w:t>投标文件</w:t>
            </w:r>
            <w:r>
              <w:rPr>
                <w:rFonts w:hint="eastAsia" w:ascii="宋体" w:hAnsi="宋体" w:cs="宋体"/>
                <w:b/>
                <w:bCs/>
                <w:color w:val="auto"/>
                <w:szCs w:val="21"/>
                <w:highlight w:val="none"/>
              </w:rPr>
              <w:t>应在</w:t>
            </w:r>
            <w:r>
              <w:rPr>
                <w:rFonts w:hint="eastAsia" w:ascii="宋体" w:hAnsi="宋体" w:cs="宋体"/>
                <w:b/>
                <w:bCs/>
                <w:color w:val="auto"/>
                <w:szCs w:val="21"/>
                <w:highlight w:val="none"/>
                <w:lang w:val="en-US" w:eastAsia="zh-CN"/>
              </w:rPr>
              <w:t>提交首次投标文件</w:t>
            </w:r>
            <w:r>
              <w:rPr>
                <w:rFonts w:hint="eastAsia" w:ascii="宋体" w:hAnsi="宋体" w:cs="宋体"/>
                <w:b/>
                <w:bCs/>
                <w:color w:val="auto"/>
                <w:szCs w:val="21"/>
                <w:highlight w:val="none"/>
              </w:rPr>
              <w:t>截止时间前通过</w:t>
            </w:r>
            <w:r>
              <w:rPr>
                <w:rFonts w:hint="eastAsia" w:ascii="宋体" w:hAnsi="宋体" w:cs="宋体"/>
                <w:b/>
                <w:bCs/>
                <w:color w:val="auto"/>
                <w:szCs w:val="21"/>
                <w:highlight w:val="none"/>
                <w:lang w:val="en-US" w:eastAsia="zh-CN"/>
              </w:rPr>
              <w:t>登录新点电子交易平台【滁州专区】上传投标文件</w:t>
            </w:r>
            <w:r>
              <w:rPr>
                <w:rFonts w:hint="eastAsia" w:ascii="宋体" w:hAnsi="宋体" w:cs="宋体"/>
                <w:b/>
                <w:bCs/>
                <w:color w:val="auto"/>
                <w:szCs w:val="21"/>
                <w:highlight w:val="none"/>
              </w:rPr>
              <w:t>。</w:t>
            </w:r>
          </w:p>
          <w:p w14:paraId="26A0C92B">
            <w:pPr>
              <w:pageBreakBefore w:val="0"/>
              <w:kinsoku/>
              <w:wordWrap w:val="0"/>
              <w:topLinePunct w:val="0"/>
              <w:bidi w:val="0"/>
              <w:spacing w:line="500" w:lineRule="exact"/>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供应商成交</w:t>
            </w:r>
            <w:r>
              <w:rPr>
                <w:rFonts w:hint="eastAsia" w:ascii="宋体" w:hAnsi="宋体" w:cs="宋体"/>
                <w:b/>
                <w:bCs/>
                <w:color w:val="auto"/>
                <w:szCs w:val="21"/>
                <w:highlight w:val="none"/>
              </w:rPr>
              <w:t>后须递交与网上电子</w:t>
            </w:r>
            <w:r>
              <w:rPr>
                <w:rFonts w:hint="eastAsia" w:ascii="宋体" w:hAnsi="宋体" w:cs="宋体"/>
                <w:b/>
                <w:bCs/>
                <w:color w:val="auto"/>
                <w:szCs w:val="21"/>
                <w:highlight w:val="none"/>
                <w:lang w:val="en-US" w:eastAsia="zh-CN"/>
              </w:rPr>
              <w:t>投标文件</w:t>
            </w:r>
            <w:r>
              <w:rPr>
                <w:rFonts w:hint="eastAsia" w:ascii="宋体" w:hAnsi="宋体" w:cs="宋体"/>
                <w:b/>
                <w:bCs/>
                <w:color w:val="auto"/>
                <w:szCs w:val="21"/>
                <w:highlight w:val="none"/>
              </w:rPr>
              <w:t>完全一致的纸质版</w:t>
            </w:r>
            <w:r>
              <w:rPr>
                <w:rFonts w:hint="eastAsia" w:ascii="宋体" w:hAnsi="宋体" w:cs="宋体"/>
                <w:b/>
                <w:bCs/>
                <w:color w:val="auto"/>
                <w:szCs w:val="21"/>
                <w:highlight w:val="none"/>
                <w:lang w:val="en-US" w:eastAsia="zh-CN"/>
              </w:rPr>
              <w:t>投标文件</w:t>
            </w:r>
            <w:r>
              <w:rPr>
                <w:rFonts w:hint="eastAsia" w:ascii="宋体" w:hAnsi="宋体" w:cs="宋体"/>
                <w:b/>
                <w:bCs/>
                <w:color w:val="auto"/>
                <w:szCs w:val="21"/>
                <w:highlight w:val="none"/>
              </w:rPr>
              <w:t xml:space="preserve">，并按要求加盖单位章；份数：正本 </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 xml:space="preserve"> 份，副本</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份；</w:t>
            </w:r>
            <w:r>
              <w:rPr>
                <w:rFonts w:hint="eastAsia" w:ascii="宋体" w:hAnsi="宋体" w:cs="宋体"/>
                <w:b/>
                <w:bCs/>
                <w:color w:val="auto"/>
                <w:szCs w:val="21"/>
                <w:highlight w:val="none"/>
                <w:lang w:val="en-US" w:eastAsia="zh-CN"/>
              </w:rPr>
              <w:t>成交人</w:t>
            </w:r>
            <w:r>
              <w:rPr>
                <w:rFonts w:hint="eastAsia" w:ascii="宋体" w:hAnsi="宋体" w:cs="宋体"/>
                <w:b/>
                <w:bCs/>
                <w:color w:val="auto"/>
                <w:szCs w:val="21"/>
                <w:highlight w:val="none"/>
              </w:rPr>
              <w:t>领取</w:t>
            </w:r>
            <w:r>
              <w:rPr>
                <w:rFonts w:hint="eastAsia" w:ascii="宋体" w:hAnsi="宋体" w:cs="宋体"/>
                <w:b/>
                <w:bCs/>
                <w:color w:val="auto"/>
                <w:szCs w:val="21"/>
                <w:highlight w:val="none"/>
                <w:lang w:val="en-US" w:eastAsia="zh-CN"/>
              </w:rPr>
              <w:t>成交</w:t>
            </w:r>
            <w:r>
              <w:rPr>
                <w:rFonts w:hint="eastAsia" w:ascii="宋体" w:hAnsi="宋体" w:cs="宋体"/>
                <w:b/>
                <w:bCs/>
                <w:color w:val="auto"/>
                <w:szCs w:val="21"/>
                <w:highlight w:val="none"/>
              </w:rPr>
              <w:t>通知书时，一并递交给代理机构）。</w:t>
            </w:r>
          </w:p>
        </w:tc>
      </w:tr>
      <w:tr w14:paraId="34567C38">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884268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461" w:type="dxa"/>
            <w:tcBorders>
              <w:top w:val="single" w:color="auto" w:sz="8" w:space="0"/>
              <w:left w:val="single" w:color="auto" w:sz="4" w:space="0"/>
              <w:bottom w:val="single" w:color="auto" w:sz="8" w:space="0"/>
              <w:right w:val="single" w:color="auto" w:sz="4" w:space="0"/>
            </w:tcBorders>
            <w:vAlign w:val="center"/>
          </w:tcPr>
          <w:p w14:paraId="10C70D7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勘查现场</w:t>
            </w:r>
          </w:p>
        </w:tc>
        <w:tc>
          <w:tcPr>
            <w:tcW w:w="7855" w:type="dxa"/>
            <w:tcBorders>
              <w:top w:val="single" w:color="auto" w:sz="8" w:space="0"/>
              <w:left w:val="single" w:color="auto" w:sz="4" w:space="0"/>
              <w:bottom w:val="single" w:color="auto" w:sz="8" w:space="0"/>
              <w:right w:val="single" w:color="auto" w:sz="8" w:space="0"/>
            </w:tcBorders>
            <w:vAlign w:val="center"/>
          </w:tcPr>
          <w:p w14:paraId="3F5B8051">
            <w:pPr>
              <w:spacing w:line="44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不再集中召开招标答疑会；投标供应商自行组织勘察现场。</w:t>
            </w:r>
          </w:p>
        </w:tc>
      </w:tr>
      <w:tr w14:paraId="36529E29">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4E82D2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461" w:type="dxa"/>
            <w:tcBorders>
              <w:top w:val="single" w:color="auto" w:sz="8" w:space="0"/>
              <w:left w:val="single" w:color="auto" w:sz="4" w:space="0"/>
              <w:bottom w:val="single" w:color="auto" w:sz="8" w:space="0"/>
              <w:right w:val="single" w:color="auto" w:sz="4" w:space="0"/>
            </w:tcBorders>
            <w:vAlign w:val="center"/>
          </w:tcPr>
          <w:p w14:paraId="0A1A50C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质疑答疑</w:t>
            </w:r>
          </w:p>
        </w:tc>
        <w:tc>
          <w:tcPr>
            <w:tcW w:w="7855" w:type="dxa"/>
            <w:tcBorders>
              <w:top w:val="single" w:color="auto" w:sz="8" w:space="0"/>
              <w:left w:val="single" w:color="auto" w:sz="4" w:space="0"/>
              <w:bottom w:val="single" w:color="auto" w:sz="8" w:space="0"/>
              <w:right w:val="single" w:color="auto" w:sz="8" w:space="0"/>
            </w:tcBorders>
            <w:shd w:val="clear" w:color="auto" w:fill="auto"/>
            <w:vAlign w:val="center"/>
          </w:tcPr>
          <w:p w14:paraId="29D20662">
            <w:pPr>
              <w:pageBreakBefore w:val="0"/>
              <w:kinsoku/>
              <w:wordWrap w:val="0"/>
              <w:topLinePunct w:val="0"/>
              <w:bidi w:val="0"/>
              <w:spacing w:line="500" w:lineRule="exact"/>
              <w:rPr>
                <w:rFonts w:hint="eastAsia" w:ascii="宋体" w:hAnsi="宋体" w:cs="宋体"/>
                <w:b/>
                <w:bCs/>
                <w:color w:val="auto"/>
                <w:szCs w:val="21"/>
                <w:highlight w:val="none"/>
              </w:rPr>
            </w:pPr>
            <w:r>
              <w:rPr>
                <w:rFonts w:hint="eastAsia" w:ascii="宋体" w:hAnsi="宋体" w:cs="宋体"/>
                <w:bCs/>
                <w:color w:val="auto"/>
                <w:szCs w:val="21"/>
                <w:highlight w:val="none"/>
              </w:rPr>
              <w:t>请于</w:t>
            </w:r>
            <w:r>
              <w:rPr>
                <w:rFonts w:hint="eastAsia" w:ascii="宋体" w:hAnsi="宋体" w:cs="宋体"/>
                <w:b/>
                <w:bCs w:val="0"/>
                <w:color w:val="auto"/>
                <w:szCs w:val="21"/>
                <w:highlight w:val="none"/>
              </w:rPr>
              <w:t>202</w:t>
            </w:r>
            <w:r>
              <w:rPr>
                <w:rFonts w:hint="eastAsia" w:ascii="宋体" w:hAnsi="宋体" w:cs="宋体"/>
                <w:b/>
                <w:bCs w:val="0"/>
                <w:color w:val="auto"/>
                <w:szCs w:val="21"/>
                <w:highlight w:val="none"/>
                <w:lang w:val="en-US" w:eastAsia="zh-CN"/>
              </w:rPr>
              <w:t>5</w:t>
            </w:r>
            <w:r>
              <w:rPr>
                <w:rFonts w:hint="eastAsia" w:ascii="宋体" w:hAnsi="宋体" w:cs="宋体"/>
                <w:b/>
                <w:bCs w:val="0"/>
                <w:color w:val="auto"/>
                <w:szCs w:val="21"/>
                <w:highlight w:val="none"/>
              </w:rPr>
              <w:t>年</w:t>
            </w:r>
            <w:r>
              <w:rPr>
                <w:rFonts w:hint="eastAsia" w:ascii="宋体" w:hAnsi="宋体" w:cs="宋体"/>
                <w:b/>
                <w:bCs w:val="0"/>
                <w:color w:val="auto"/>
                <w:szCs w:val="21"/>
                <w:highlight w:val="none"/>
                <w:lang w:val="en-US" w:eastAsia="zh-CN"/>
              </w:rPr>
              <w:t>4</w:t>
            </w:r>
            <w:r>
              <w:rPr>
                <w:rFonts w:hint="eastAsia" w:ascii="宋体" w:hAnsi="宋体" w:cs="宋体"/>
                <w:b/>
                <w:bCs w:val="0"/>
                <w:color w:val="auto"/>
                <w:szCs w:val="21"/>
                <w:highlight w:val="none"/>
              </w:rPr>
              <w:t>月</w:t>
            </w:r>
            <w:r>
              <w:rPr>
                <w:rFonts w:hint="eastAsia" w:ascii="宋体" w:hAnsi="宋体" w:cs="宋体"/>
                <w:b/>
                <w:bCs w:val="0"/>
                <w:color w:val="auto"/>
                <w:szCs w:val="21"/>
                <w:highlight w:val="none"/>
                <w:lang w:val="en-US" w:eastAsia="zh-CN"/>
              </w:rPr>
              <w:t xml:space="preserve">22 </w:t>
            </w: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"mailto:日17时前，将疑问以书面形式（加盖公章）送至滁州学院资产与设备处（会峰校区行政楼220）或以邮件的形式发送至(624857457@qq.com)邮箱，招标人将在2020年7月" </w:instrText>
            </w:r>
            <w:r>
              <w:rPr>
                <w:rFonts w:hint="eastAsia" w:ascii="宋体" w:hAnsi="宋体" w:cs="宋体"/>
                <w:bCs/>
                <w:color w:val="auto"/>
                <w:szCs w:val="21"/>
                <w:highlight w:val="none"/>
              </w:rPr>
              <w:fldChar w:fldCharType="separate"/>
            </w:r>
            <w:r>
              <w:rPr>
                <w:rStyle w:val="37"/>
                <w:rFonts w:hint="eastAsia" w:ascii="宋体" w:hAnsi="宋体" w:cs="宋体"/>
                <w:b/>
                <w:bCs w:val="0"/>
                <w:color w:val="auto"/>
                <w:szCs w:val="21"/>
                <w:highlight w:val="none"/>
                <w:u w:val="none"/>
              </w:rPr>
              <w:t>日</w:t>
            </w:r>
            <w:r>
              <w:rPr>
                <w:rStyle w:val="37"/>
                <w:rFonts w:hint="eastAsia" w:ascii="宋体" w:hAnsi="宋体" w:cs="宋体"/>
                <w:b/>
                <w:bCs w:val="0"/>
                <w:color w:val="auto"/>
                <w:szCs w:val="21"/>
                <w:highlight w:val="none"/>
                <w:u w:val="none"/>
                <w:lang w:val="en-US" w:eastAsia="zh-CN"/>
              </w:rPr>
              <w:t>17</w:t>
            </w:r>
            <w:r>
              <w:rPr>
                <w:rStyle w:val="37"/>
                <w:rFonts w:hint="eastAsia" w:ascii="宋体" w:hAnsi="宋体" w:cs="宋体"/>
                <w:b/>
                <w:bCs w:val="0"/>
                <w:color w:val="auto"/>
                <w:szCs w:val="21"/>
                <w:highlight w:val="none"/>
                <w:u w:val="none"/>
              </w:rPr>
              <w:t>时前</w:t>
            </w:r>
            <w:r>
              <w:rPr>
                <w:rStyle w:val="37"/>
                <w:rFonts w:hint="eastAsia" w:ascii="宋体" w:hAnsi="宋体" w:cs="宋体"/>
                <w:bCs/>
                <w:color w:val="auto"/>
                <w:szCs w:val="21"/>
                <w:highlight w:val="none"/>
                <w:u w:val="none"/>
              </w:rPr>
              <w:t>，将疑问</w:t>
            </w:r>
            <w:r>
              <w:rPr>
                <w:rStyle w:val="37"/>
                <w:rFonts w:hint="eastAsia" w:ascii="宋体" w:hAnsi="宋体" w:cs="宋体"/>
                <w:bCs/>
                <w:color w:val="auto"/>
                <w:szCs w:val="21"/>
                <w:highlight w:val="none"/>
                <w:u w:val="none"/>
                <w:lang w:val="en-US" w:eastAsia="zh-CN"/>
              </w:rPr>
              <w:t>内容通过登录新点电子交易平台【滁州专区】线上提出</w:t>
            </w:r>
            <w:r>
              <w:rPr>
                <w:rStyle w:val="37"/>
                <w:rFonts w:hint="eastAsia" w:ascii="宋体" w:hAnsi="宋体" w:cs="宋体"/>
                <w:bCs/>
                <w:color w:val="auto"/>
                <w:szCs w:val="21"/>
                <w:highlight w:val="none"/>
                <w:u w:val="none"/>
              </w:rPr>
              <w:t>，采购人将在</w:t>
            </w:r>
            <w:r>
              <w:rPr>
                <w:rStyle w:val="37"/>
                <w:rFonts w:hint="eastAsia" w:ascii="宋体" w:hAnsi="宋体" w:cs="宋体"/>
                <w:b/>
                <w:bCs w:val="0"/>
                <w:color w:val="auto"/>
                <w:szCs w:val="21"/>
                <w:highlight w:val="none"/>
                <w:u w:val="none"/>
              </w:rPr>
              <w:t>202</w:t>
            </w:r>
            <w:r>
              <w:rPr>
                <w:rStyle w:val="37"/>
                <w:rFonts w:hint="eastAsia" w:ascii="宋体" w:hAnsi="宋体" w:cs="宋体"/>
                <w:b/>
                <w:bCs w:val="0"/>
                <w:color w:val="auto"/>
                <w:szCs w:val="21"/>
                <w:highlight w:val="none"/>
                <w:u w:val="none"/>
                <w:lang w:val="en-US" w:eastAsia="zh-CN"/>
              </w:rPr>
              <w:t>5</w:t>
            </w:r>
            <w:r>
              <w:rPr>
                <w:rStyle w:val="37"/>
                <w:rFonts w:hint="eastAsia" w:ascii="宋体" w:hAnsi="宋体" w:cs="宋体"/>
                <w:b/>
                <w:bCs w:val="0"/>
                <w:color w:val="auto"/>
                <w:szCs w:val="21"/>
                <w:highlight w:val="none"/>
                <w:u w:val="none"/>
              </w:rPr>
              <w:t>年</w:t>
            </w:r>
            <w:r>
              <w:rPr>
                <w:rStyle w:val="37"/>
                <w:rFonts w:hint="eastAsia" w:ascii="宋体" w:hAnsi="宋体" w:cs="宋体"/>
                <w:b/>
                <w:bCs w:val="0"/>
                <w:color w:val="auto"/>
                <w:szCs w:val="21"/>
                <w:highlight w:val="none"/>
                <w:u w:val="none"/>
                <w:lang w:val="en-US" w:eastAsia="zh-CN"/>
              </w:rPr>
              <w:t>4</w:t>
            </w:r>
            <w:r>
              <w:rPr>
                <w:rStyle w:val="37"/>
                <w:rFonts w:hint="eastAsia" w:ascii="宋体" w:hAnsi="宋体" w:cs="宋体"/>
                <w:b/>
                <w:bCs w:val="0"/>
                <w:color w:val="auto"/>
                <w:szCs w:val="21"/>
                <w:highlight w:val="none"/>
                <w:u w:val="none"/>
              </w:rPr>
              <w:t>月</w:t>
            </w:r>
            <w:r>
              <w:rPr>
                <w:rFonts w:hint="eastAsia" w:ascii="宋体" w:hAnsi="宋体" w:cs="宋体"/>
                <w:bCs/>
                <w:color w:val="auto"/>
                <w:szCs w:val="21"/>
                <w:highlight w:val="none"/>
              </w:rPr>
              <w:fldChar w:fldCharType="end"/>
            </w:r>
            <w:r>
              <w:rPr>
                <w:rFonts w:hint="eastAsia" w:ascii="宋体" w:hAnsi="宋体" w:cs="宋体"/>
                <w:b/>
                <w:bCs w:val="0"/>
                <w:color w:val="auto"/>
                <w:szCs w:val="21"/>
                <w:highlight w:val="none"/>
                <w:lang w:val="en-US" w:eastAsia="zh-CN"/>
              </w:rPr>
              <w:t>23</w:t>
            </w:r>
            <w:r>
              <w:rPr>
                <w:rFonts w:hint="eastAsia" w:ascii="宋体" w:hAnsi="宋体" w:cs="宋体"/>
                <w:b/>
                <w:bCs w:val="0"/>
                <w:color w:val="auto"/>
                <w:szCs w:val="21"/>
                <w:highlight w:val="none"/>
              </w:rPr>
              <w:t>日17时前</w:t>
            </w:r>
            <w:r>
              <w:rPr>
                <w:rFonts w:hint="eastAsia" w:ascii="宋体" w:hAnsi="宋体" w:cs="宋体"/>
                <w:bCs/>
                <w:color w:val="auto"/>
                <w:szCs w:val="21"/>
                <w:highlight w:val="none"/>
              </w:rPr>
              <w:t>以澄清公告形式在滁州学院信息公开网（http://www.chzu.edu.cn/public/）</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滁州市城投工程咨询管理有限公司官网（https://www.czctgczx.com/）等网站</w:t>
            </w:r>
            <w:r>
              <w:rPr>
                <w:rFonts w:hint="eastAsia" w:ascii="宋体" w:hAnsi="宋体" w:cs="宋体"/>
                <w:bCs/>
                <w:color w:val="auto"/>
                <w:szCs w:val="21"/>
                <w:highlight w:val="none"/>
              </w:rPr>
              <w:t>予以公告，请各潜在供应商注意查看有关澄清内容，如不及时查看造成后果由供应商自负。</w:t>
            </w:r>
          </w:p>
          <w:p w14:paraId="29F9C8F4">
            <w:pPr>
              <w:pageBreakBefore w:val="0"/>
              <w:kinsoku/>
              <w:wordWrap w:val="0"/>
              <w:topLinePunct w:val="0"/>
              <w:bidi w:val="0"/>
              <w:spacing w:line="5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供应商请注意：</w:t>
            </w:r>
            <w:r>
              <w:rPr>
                <w:rFonts w:hint="eastAsia" w:ascii="宋体" w:hAnsi="宋体" w:cs="宋体"/>
                <w:bCs/>
                <w:color w:val="auto"/>
                <w:szCs w:val="21"/>
                <w:highlight w:val="none"/>
              </w:rPr>
              <w:t>代理机构对</w:t>
            </w:r>
            <w:r>
              <w:rPr>
                <w:rFonts w:hint="eastAsia" w:ascii="宋体" w:hAnsi="宋体" w:cs="宋体"/>
                <w:bCs/>
                <w:color w:val="auto"/>
                <w:szCs w:val="21"/>
                <w:highlight w:val="none"/>
                <w:lang w:val="en-US" w:eastAsia="zh-CN"/>
              </w:rPr>
              <w:t>招标</w:t>
            </w:r>
            <w:r>
              <w:rPr>
                <w:rFonts w:hint="eastAsia" w:ascii="宋体" w:hAnsi="宋体" w:cs="宋体"/>
                <w:bCs/>
                <w:color w:val="auto"/>
                <w:szCs w:val="21"/>
                <w:highlight w:val="none"/>
              </w:rPr>
              <w:t>文件进行的澄清、更正或更改，将在网站上及时发布，该公告内容为</w:t>
            </w:r>
            <w:r>
              <w:rPr>
                <w:rFonts w:hint="eastAsia" w:ascii="宋体" w:hAnsi="宋体" w:cs="宋体"/>
                <w:bCs/>
                <w:color w:val="auto"/>
                <w:szCs w:val="21"/>
                <w:highlight w:val="none"/>
                <w:lang w:eastAsia="zh-CN"/>
              </w:rPr>
              <w:t>招标文件</w:t>
            </w:r>
            <w:r>
              <w:rPr>
                <w:rFonts w:hint="eastAsia" w:ascii="宋体" w:hAnsi="宋体" w:cs="宋体"/>
                <w:bCs/>
                <w:color w:val="auto"/>
                <w:szCs w:val="21"/>
                <w:highlight w:val="none"/>
              </w:rPr>
              <w:t>的组成部分，对供应商具有同样约束力效力。供应商应主动上网查询。代理机构不承担供应商未及时关注相关信息引发的相关责任。</w:t>
            </w:r>
          </w:p>
        </w:tc>
      </w:tr>
      <w:tr w14:paraId="1801C095">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A8A520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461" w:type="dxa"/>
            <w:tcBorders>
              <w:top w:val="single" w:color="auto" w:sz="8" w:space="0"/>
              <w:left w:val="single" w:color="auto" w:sz="4" w:space="0"/>
              <w:bottom w:val="single" w:color="auto" w:sz="8" w:space="0"/>
              <w:right w:val="single" w:color="auto" w:sz="4" w:space="0"/>
            </w:tcBorders>
            <w:vAlign w:val="center"/>
          </w:tcPr>
          <w:p w14:paraId="4778B24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7855" w:type="dxa"/>
            <w:tcBorders>
              <w:top w:val="single" w:color="auto" w:sz="8" w:space="0"/>
              <w:left w:val="single" w:color="auto" w:sz="4" w:space="0"/>
              <w:bottom w:val="single" w:color="auto" w:sz="8" w:space="0"/>
              <w:right w:val="single" w:color="auto" w:sz="8" w:space="0"/>
            </w:tcBorders>
            <w:vAlign w:val="center"/>
          </w:tcPr>
          <w:p w14:paraId="7C5D07D0">
            <w:pPr>
              <w:widowControl/>
              <w:spacing w:line="44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本项目不采用</w:t>
            </w:r>
          </w:p>
        </w:tc>
      </w:tr>
      <w:tr w14:paraId="6FAA367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645DE16">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461" w:type="dxa"/>
            <w:tcBorders>
              <w:top w:val="single" w:color="auto" w:sz="8" w:space="0"/>
              <w:left w:val="single" w:color="auto" w:sz="4" w:space="0"/>
              <w:bottom w:val="single" w:color="auto" w:sz="8" w:space="0"/>
              <w:right w:val="single" w:color="auto" w:sz="4" w:space="0"/>
            </w:tcBorders>
            <w:vAlign w:val="center"/>
          </w:tcPr>
          <w:p w14:paraId="1165B030">
            <w:pPr>
              <w:pStyle w:val="14"/>
              <w:wordWrap w:val="0"/>
              <w:spacing w:line="440" w:lineRule="exact"/>
              <w:jc w:val="center"/>
              <w:rPr>
                <w:rFonts w:hAnsi="宋体" w:cs="宋体"/>
                <w:color w:val="auto"/>
                <w:szCs w:val="21"/>
                <w:highlight w:val="none"/>
              </w:rPr>
            </w:pPr>
            <w:r>
              <w:rPr>
                <w:rFonts w:hint="eastAsia" w:hAnsi="宋体" w:cs="宋体"/>
                <w:color w:val="auto"/>
                <w:szCs w:val="21"/>
                <w:highlight w:val="none"/>
              </w:rPr>
              <w:t>投标有效期</w:t>
            </w:r>
          </w:p>
        </w:tc>
        <w:tc>
          <w:tcPr>
            <w:tcW w:w="7855" w:type="dxa"/>
            <w:tcBorders>
              <w:top w:val="single" w:color="auto" w:sz="8" w:space="0"/>
              <w:left w:val="single" w:color="auto" w:sz="4" w:space="0"/>
              <w:bottom w:val="single" w:color="auto" w:sz="8" w:space="0"/>
              <w:right w:val="single" w:color="auto" w:sz="8" w:space="0"/>
            </w:tcBorders>
            <w:vAlign w:val="center"/>
          </w:tcPr>
          <w:p w14:paraId="0524CBC7">
            <w:pPr>
              <w:pStyle w:val="14"/>
              <w:wordWrap w:val="0"/>
              <w:spacing w:line="440" w:lineRule="exact"/>
              <w:rPr>
                <w:rFonts w:hAnsi="宋体" w:cs="宋体"/>
                <w:b/>
                <w:color w:val="auto"/>
                <w:szCs w:val="21"/>
                <w:highlight w:val="none"/>
              </w:rPr>
            </w:pPr>
            <w:r>
              <w:rPr>
                <w:rFonts w:hint="eastAsia" w:hAnsi="宋体" w:cs="宋体"/>
                <w:color w:val="auto"/>
                <w:szCs w:val="21"/>
                <w:highlight w:val="none"/>
              </w:rPr>
              <w:t>投标有效期为</w:t>
            </w:r>
            <w:r>
              <w:rPr>
                <w:rFonts w:hint="eastAsia" w:hAnsi="宋体" w:cs="宋体"/>
                <w:color w:val="auto"/>
                <w:szCs w:val="21"/>
                <w:highlight w:val="none"/>
                <w:u w:val="single"/>
              </w:rPr>
              <w:t xml:space="preserve"> 60 </w:t>
            </w:r>
            <w:r>
              <w:rPr>
                <w:rFonts w:hint="eastAsia" w:hAnsi="宋体" w:cs="宋体"/>
                <w:color w:val="auto"/>
                <w:szCs w:val="21"/>
                <w:highlight w:val="none"/>
              </w:rPr>
              <w:t>日历天（从投标截止之日算起）。在此期限内，凡符合本采购文件要求的投标文件均保持有效。</w:t>
            </w:r>
          </w:p>
        </w:tc>
      </w:tr>
      <w:tr w14:paraId="3B6A50D0">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F803F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461" w:type="dxa"/>
            <w:tcBorders>
              <w:top w:val="single" w:color="auto" w:sz="8" w:space="0"/>
              <w:left w:val="single" w:color="auto" w:sz="4" w:space="0"/>
              <w:bottom w:val="single" w:color="auto" w:sz="8" w:space="0"/>
              <w:right w:val="single" w:color="auto" w:sz="4" w:space="0"/>
            </w:tcBorders>
            <w:vAlign w:val="center"/>
          </w:tcPr>
          <w:p w14:paraId="18BBFB83">
            <w:pPr>
              <w:pStyle w:val="14"/>
              <w:wordWrap w:val="0"/>
              <w:spacing w:line="440" w:lineRule="exact"/>
              <w:jc w:val="center"/>
              <w:rPr>
                <w:rFonts w:hAnsi="宋体" w:cs="宋体"/>
                <w:color w:val="auto"/>
                <w:szCs w:val="21"/>
                <w:highlight w:val="none"/>
              </w:rPr>
            </w:pPr>
            <w:r>
              <w:rPr>
                <w:rFonts w:hint="eastAsia" w:hAnsi="宋体" w:cs="宋体"/>
                <w:bCs/>
                <w:color w:val="auto"/>
                <w:kern w:val="0"/>
                <w:szCs w:val="21"/>
                <w:highlight w:val="none"/>
              </w:rPr>
              <w:t>投标文件数量</w:t>
            </w:r>
          </w:p>
        </w:tc>
        <w:tc>
          <w:tcPr>
            <w:tcW w:w="7855" w:type="dxa"/>
            <w:tcBorders>
              <w:top w:val="single" w:color="auto" w:sz="8" w:space="0"/>
              <w:left w:val="single" w:color="auto" w:sz="4" w:space="0"/>
              <w:bottom w:val="single" w:color="auto" w:sz="8" w:space="0"/>
              <w:right w:val="single" w:color="auto" w:sz="8" w:space="0"/>
            </w:tcBorders>
            <w:vAlign w:val="center"/>
          </w:tcPr>
          <w:p w14:paraId="7EAC84A9">
            <w:pPr>
              <w:pStyle w:val="14"/>
              <w:wordWrap w:val="0"/>
              <w:spacing w:line="440" w:lineRule="exact"/>
              <w:rPr>
                <w:rFonts w:hAnsi="宋体" w:cs="宋体"/>
                <w:color w:val="auto"/>
                <w:szCs w:val="21"/>
                <w:highlight w:val="none"/>
              </w:rPr>
            </w:pPr>
            <w:r>
              <w:rPr>
                <w:rFonts w:hint="eastAsia" w:hAnsi="宋体" w:cs="宋体"/>
                <w:color w:val="auto"/>
                <w:szCs w:val="21"/>
                <w:highlight w:val="none"/>
              </w:rPr>
              <w:t>正本一份，副本两份；</w:t>
            </w:r>
          </w:p>
        </w:tc>
      </w:tr>
      <w:tr w14:paraId="326D2C2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8AB1A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461" w:type="dxa"/>
            <w:tcBorders>
              <w:top w:val="single" w:color="auto" w:sz="8" w:space="0"/>
              <w:left w:val="single" w:color="auto" w:sz="4" w:space="0"/>
              <w:bottom w:val="single" w:color="auto" w:sz="8" w:space="0"/>
              <w:right w:val="single" w:color="auto" w:sz="4" w:space="0"/>
            </w:tcBorders>
            <w:vAlign w:val="center"/>
          </w:tcPr>
          <w:p w14:paraId="5724594B">
            <w:pPr>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装订、密封要求</w:t>
            </w:r>
          </w:p>
        </w:tc>
        <w:tc>
          <w:tcPr>
            <w:tcW w:w="7855" w:type="dxa"/>
            <w:tcBorders>
              <w:top w:val="single" w:color="auto" w:sz="8" w:space="0"/>
              <w:left w:val="single" w:color="auto" w:sz="4" w:space="0"/>
              <w:bottom w:val="single" w:color="auto" w:sz="8" w:space="0"/>
              <w:right w:val="single" w:color="auto" w:sz="8" w:space="0"/>
            </w:tcBorders>
            <w:vAlign w:val="center"/>
          </w:tcPr>
          <w:p w14:paraId="28828676">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资格证明文件正副本密封在资格证明文件袋内，技术标正副本密封在技术标文件袋内，商务标正副本密封在商务标文件袋内。</w:t>
            </w:r>
          </w:p>
        </w:tc>
      </w:tr>
      <w:tr w14:paraId="328B9A25">
        <w:tblPrEx>
          <w:tblCellMar>
            <w:top w:w="0" w:type="dxa"/>
            <w:left w:w="0" w:type="dxa"/>
            <w:bottom w:w="0" w:type="dxa"/>
            <w:right w:w="0" w:type="dxa"/>
          </w:tblCellMar>
        </w:tblPrEx>
        <w:trPr>
          <w:trHeight w:val="432"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14341A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61" w:type="dxa"/>
            <w:tcBorders>
              <w:top w:val="single" w:color="auto" w:sz="8" w:space="0"/>
              <w:left w:val="single" w:color="auto" w:sz="4" w:space="0"/>
              <w:bottom w:val="single" w:color="auto" w:sz="8" w:space="0"/>
              <w:right w:val="single" w:color="auto" w:sz="4" w:space="0"/>
            </w:tcBorders>
            <w:vAlign w:val="center"/>
          </w:tcPr>
          <w:p w14:paraId="2C3ACF68">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投标文件提交截止时间及地点</w:t>
            </w:r>
          </w:p>
        </w:tc>
        <w:tc>
          <w:tcPr>
            <w:tcW w:w="7855" w:type="dxa"/>
            <w:tcBorders>
              <w:top w:val="single" w:color="auto" w:sz="8" w:space="0"/>
              <w:left w:val="single" w:color="auto" w:sz="4" w:space="0"/>
              <w:bottom w:val="single" w:color="auto" w:sz="8" w:space="0"/>
              <w:right w:val="single" w:color="auto" w:sz="8" w:space="0"/>
            </w:tcBorders>
            <w:shd w:val="clear" w:color="auto" w:fill="auto"/>
            <w:vAlign w:val="center"/>
          </w:tcPr>
          <w:p w14:paraId="0316BFA1">
            <w:pPr>
              <w:pageBreakBefore w:val="0"/>
              <w:kinsoku/>
              <w:wordWrap w:val="0"/>
              <w:topLinePunct w:val="0"/>
              <w:bidi w:val="0"/>
              <w:spacing w:line="500" w:lineRule="exact"/>
              <w:ind w:left="218" w:right="-2" w:hanging="218" w:hangingChars="104"/>
              <w:rPr>
                <w:rFonts w:hint="eastAsia" w:ascii="宋体" w:hAnsi="宋体" w:cs="宋体"/>
                <w:color w:val="auto"/>
                <w:szCs w:val="21"/>
                <w:highlight w:val="none"/>
              </w:rPr>
            </w:pPr>
            <w:r>
              <w:rPr>
                <w:rFonts w:hint="eastAsia" w:ascii="宋体" w:hAnsi="宋体" w:cs="宋体"/>
                <w:color w:val="auto"/>
                <w:szCs w:val="21"/>
                <w:highlight w:val="none"/>
              </w:rPr>
              <w:t>收件人：滁州市城投工程咨询管理有限公司</w:t>
            </w:r>
          </w:p>
          <w:p w14:paraId="7080F275">
            <w:pPr>
              <w:pageBreakBefore w:val="0"/>
              <w:kinsoku/>
              <w:wordWrap w:val="0"/>
              <w:topLinePunct w:val="0"/>
              <w:bidi w:val="0"/>
              <w:spacing w:line="500" w:lineRule="exact"/>
              <w:ind w:left="218" w:right="-2" w:hanging="218" w:hangingChars="104"/>
              <w:rPr>
                <w:rFonts w:hint="eastAsia" w:ascii="宋体" w:hAnsi="宋体" w:cs="宋体"/>
                <w:color w:val="auto"/>
                <w:szCs w:val="21"/>
                <w:highlight w:val="none"/>
              </w:rPr>
            </w:pPr>
            <w:r>
              <w:rPr>
                <w:rFonts w:hint="eastAsia" w:ascii="宋体" w:hAnsi="宋体" w:cs="宋体"/>
                <w:color w:val="auto"/>
                <w:szCs w:val="21"/>
                <w:highlight w:val="none"/>
              </w:rPr>
              <w:t>时  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5月6日9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w:t>
            </w:r>
          </w:p>
          <w:p w14:paraId="7AA316E6">
            <w:pPr>
              <w:pageBreakBefore w:val="0"/>
              <w:kinsoku/>
              <w:wordWrap w:val="0"/>
              <w:topLinePunct w:val="0"/>
              <w:bidi w:val="0"/>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地  点：本项目采用不见面开标，投标人登录</w:t>
            </w:r>
            <w:r>
              <w:rPr>
                <w:rFonts w:hint="eastAsia" w:ascii="宋体" w:hAnsi="宋体" w:cs="宋体"/>
                <w:color w:val="auto"/>
                <w:szCs w:val="21"/>
                <w:highlight w:val="none"/>
                <w:lang w:val="en-US" w:eastAsia="zh-CN"/>
              </w:rPr>
              <w:t>滁州市城投工程咨询有限公司</w:t>
            </w:r>
            <w:r>
              <w:rPr>
                <w:rFonts w:hint="eastAsia" w:ascii="宋体" w:hAnsi="宋体" w:cs="宋体"/>
                <w:color w:val="auto"/>
                <w:szCs w:val="21"/>
                <w:highlight w:val="none"/>
              </w:rPr>
              <w:t>不见面开标系统参与网上开标（网址：</w:t>
            </w:r>
            <w:r>
              <w:rPr>
                <w:rFonts w:hint="eastAsia" w:ascii="宋体" w:hAnsi="宋体" w:cs="宋体"/>
                <w:color w:val="auto"/>
                <w:szCs w:val="21"/>
                <w:highlight w:val="none"/>
                <w:u w:val="none"/>
              </w:rPr>
              <w:t>http://js.etrading.cn/EpointBidOpening/bidopeninghallaction/hall/login）。</w:t>
            </w:r>
          </w:p>
          <w:p w14:paraId="5D6C2DB1">
            <w:pPr>
              <w:pStyle w:val="25"/>
              <w:pageBreakBefore w:val="0"/>
              <w:kinsoku/>
              <w:wordWrap w:val="0"/>
              <w:topLinePunct w:val="0"/>
              <w:bidi w:val="0"/>
              <w:ind w:left="0" w:leftChars="0" w:firstLine="0" w:firstLineChars="0"/>
              <w:rPr>
                <w:rFonts w:hint="eastAsia" w:ascii="宋体" w:hAnsi="Times New Roman" w:eastAsia="宋体" w:cs="Times New Roman"/>
                <w:color w:val="auto"/>
                <w:kern w:val="2"/>
                <w:sz w:val="28"/>
                <w:szCs w:val="20"/>
                <w:lang w:val="en-US" w:eastAsia="zh-CN" w:bidi="ar-SA"/>
              </w:rPr>
            </w:pPr>
            <w:r>
              <w:rPr>
                <w:rFonts w:hint="eastAsia"/>
                <w:b/>
                <w:bCs/>
                <w:color w:val="auto"/>
              </w:rPr>
              <w:t>投标人应在投标截止时间之前，登陆新点电子交易平台【滁州专区】上传投标文件。</w:t>
            </w:r>
          </w:p>
        </w:tc>
      </w:tr>
      <w:tr w14:paraId="12B8D0C7">
        <w:tblPrEx>
          <w:tblCellMar>
            <w:top w:w="0" w:type="dxa"/>
            <w:left w:w="0" w:type="dxa"/>
            <w:bottom w:w="0" w:type="dxa"/>
            <w:right w:w="0" w:type="dxa"/>
          </w:tblCellMar>
        </w:tblPrEx>
        <w:trPr>
          <w:trHeight w:val="444"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0A5471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461" w:type="dxa"/>
            <w:tcBorders>
              <w:top w:val="single" w:color="auto" w:sz="8" w:space="0"/>
              <w:left w:val="single" w:color="auto" w:sz="4" w:space="0"/>
              <w:bottom w:val="single" w:color="auto" w:sz="8" w:space="0"/>
              <w:right w:val="single" w:color="auto" w:sz="4" w:space="0"/>
            </w:tcBorders>
            <w:vAlign w:val="center"/>
          </w:tcPr>
          <w:p w14:paraId="4FA552C3">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开  标</w:t>
            </w:r>
          </w:p>
        </w:tc>
        <w:tc>
          <w:tcPr>
            <w:tcW w:w="7855" w:type="dxa"/>
            <w:tcBorders>
              <w:top w:val="single" w:color="auto" w:sz="8" w:space="0"/>
              <w:left w:val="single" w:color="auto" w:sz="4" w:space="0"/>
              <w:bottom w:val="single" w:color="auto" w:sz="8" w:space="0"/>
              <w:right w:val="single" w:color="auto" w:sz="8" w:space="0"/>
            </w:tcBorders>
            <w:vAlign w:val="center"/>
          </w:tcPr>
          <w:p w14:paraId="71B66263">
            <w:pPr>
              <w:pageBreakBefore w:val="0"/>
              <w:kinsoku/>
              <w:wordWrap w:val="0"/>
              <w:topLinePunct w:val="0"/>
              <w:bidi w:val="0"/>
              <w:spacing w:line="500" w:lineRule="exact"/>
              <w:ind w:left="218" w:right="-2" w:hanging="218" w:hangingChars="104"/>
              <w:rPr>
                <w:rFonts w:hint="eastAsia" w:ascii="宋体" w:hAnsi="宋体" w:cs="宋体"/>
                <w:color w:val="auto"/>
                <w:szCs w:val="21"/>
                <w:highlight w:val="none"/>
              </w:rPr>
            </w:pPr>
            <w:r>
              <w:rPr>
                <w:rFonts w:hint="eastAsia" w:ascii="宋体" w:hAnsi="宋体" w:cs="宋体"/>
                <w:color w:val="auto"/>
                <w:szCs w:val="21"/>
                <w:highlight w:val="none"/>
              </w:rPr>
              <w:t>收件人：滁州市城投工程咨询管理有限公司</w:t>
            </w:r>
          </w:p>
          <w:p w14:paraId="7FB01AB9">
            <w:pPr>
              <w:pageBreakBefore w:val="0"/>
              <w:kinsoku/>
              <w:wordWrap w:val="0"/>
              <w:topLinePunct w:val="0"/>
              <w:bidi w:val="0"/>
              <w:spacing w:line="500" w:lineRule="exact"/>
              <w:ind w:left="218" w:right="-2" w:hanging="218" w:hangingChars="104"/>
              <w:rPr>
                <w:rFonts w:hint="eastAsia" w:ascii="宋体" w:hAnsi="宋体" w:cs="宋体"/>
                <w:color w:val="auto"/>
                <w:szCs w:val="21"/>
                <w:highlight w:val="none"/>
              </w:rPr>
            </w:pPr>
            <w:r>
              <w:rPr>
                <w:rFonts w:hint="eastAsia" w:ascii="宋体" w:hAnsi="宋体" w:cs="宋体"/>
                <w:color w:val="auto"/>
                <w:szCs w:val="21"/>
                <w:highlight w:val="none"/>
              </w:rPr>
              <w:t>时  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5月6日9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w:t>
            </w:r>
          </w:p>
          <w:p w14:paraId="6152811F">
            <w:pPr>
              <w:pageBreakBefore w:val="0"/>
              <w:kinsoku/>
              <w:wordWrap w:val="0"/>
              <w:topLinePunct w:val="0"/>
              <w:bidi w:val="0"/>
              <w:spacing w:line="5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地  点：网上开标</w:t>
            </w:r>
            <w:r>
              <w:rPr>
                <w:rFonts w:hint="eastAsia" w:ascii="宋体" w:hAnsi="宋体" w:cs="宋体"/>
                <w:color w:val="auto"/>
                <w:szCs w:val="21"/>
                <w:highlight w:val="none"/>
                <w:lang w:val="en-US" w:eastAsia="zh-CN"/>
              </w:rPr>
              <w:t>(http://js.etrading.cn/EpointBidOpening/bidopeninghallaction/hall/login)</w:t>
            </w:r>
          </w:p>
          <w:p w14:paraId="778AE482">
            <w:pPr>
              <w:widowControl/>
              <w:spacing w:line="440" w:lineRule="exact"/>
              <w:jc w:val="left"/>
              <w:textAlignment w:val="baseline"/>
              <w:rPr>
                <w:rFonts w:ascii="黑体" w:hAnsi="黑体" w:eastAsia="黑体" w:cs="黑体"/>
                <w:b/>
                <w:bCs/>
                <w:color w:val="auto"/>
                <w:szCs w:val="21"/>
                <w:highlight w:val="none"/>
                <w:u w:val="single"/>
              </w:rPr>
            </w:pP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解密时间：解密程序开始后60分钟内（以电子交易系统解密倒计时为准），解密时间为</w:t>
            </w:r>
            <w:r>
              <w:rPr>
                <w:rFonts w:hint="eastAsia" w:ascii="宋体" w:hAnsi="宋体" w:eastAsia="宋体" w:cs="宋体"/>
                <w:color w:val="auto"/>
                <w:szCs w:val="21"/>
                <w:highlight w:val="none"/>
                <w:lang w:val="en-US"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5月6日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分至</w:t>
            </w:r>
            <w:r>
              <w:rPr>
                <w:rFonts w:hint="eastAsia" w:ascii="宋体" w:hAnsi="宋体" w:eastAsia="宋体" w:cs="宋体"/>
                <w:color w:val="auto"/>
                <w:szCs w:val="21"/>
                <w:highlight w:val="none"/>
                <w:lang w:val="en-US"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5月6日</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p>
        </w:tc>
      </w:tr>
      <w:tr w14:paraId="0C9DD49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572E2EF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461" w:type="dxa"/>
            <w:tcBorders>
              <w:top w:val="single" w:color="auto" w:sz="4" w:space="0"/>
              <w:left w:val="single" w:color="auto" w:sz="4" w:space="0"/>
              <w:bottom w:val="single" w:color="auto" w:sz="4" w:space="0"/>
              <w:right w:val="single" w:color="auto" w:sz="4" w:space="0"/>
            </w:tcBorders>
            <w:vAlign w:val="center"/>
          </w:tcPr>
          <w:p w14:paraId="21CBCCC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中标价</w:t>
            </w:r>
          </w:p>
        </w:tc>
        <w:tc>
          <w:tcPr>
            <w:tcW w:w="7855" w:type="dxa"/>
            <w:tcBorders>
              <w:top w:val="single" w:color="auto" w:sz="4" w:space="0"/>
              <w:left w:val="single" w:color="auto" w:sz="4" w:space="0"/>
              <w:bottom w:val="single" w:color="auto" w:sz="4" w:space="0"/>
              <w:right w:val="single" w:color="auto" w:sz="8" w:space="0"/>
            </w:tcBorders>
            <w:vAlign w:val="center"/>
          </w:tcPr>
          <w:p w14:paraId="227C10D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在评标中经过修正的中标单位的投标总报价作为中标价，中标价即为合同价。</w:t>
            </w:r>
            <w:r>
              <w:rPr>
                <w:rFonts w:hint="eastAsia" w:ascii="Times New Roman" w:hAnsi="Times New Roman" w:eastAsia="宋体" w:cs="宋体"/>
                <w:color w:val="auto"/>
                <w:szCs w:val="21"/>
              </w:rPr>
              <w:t>各报价人须现场勘查，材料清单所列内容和数量均为预估及参考量，实际使用材料数量由各报价人自行现场测量和计算，安装时符合消防、防水的规定和要求</w:t>
            </w:r>
            <w:r>
              <w:rPr>
                <w:rFonts w:hint="eastAsia" w:eastAsia="宋体" w:cs="宋体"/>
                <w:color w:val="auto"/>
                <w:szCs w:val="21"/>
                <w:lang w:eastAsia="zh-CN"/>
              </w:rPr>
              <w:t>；</w:t>
            </w:r>
            <w:r>
              <w:rPr>
                <w:rFonts w:hint="eastAsia" w:ascii="宋体" w:hAnsi="宋体" w:cs="宋体"/>
                <w:color w:val="auto"/>
                <w:kern w:val="0"/>
                <w:szCs w:val="21"/>
                <w:highlight w:val="none"/>
              </w:rPr>
              <w:t>本项目采用固定</w:t>
            </w:r>
            <w:r>
              <w:rPr>
                <w:rFonts w:hint="eastAsia" w:ascii="宋体" w:hAnsi="宋体" w:cs="宋体"/>
                <w:color w:val="auto"/>
                <w:kern w:val="0"/>
                <w:szCs w:val="21"/>
                <w:highlight w:val="none"/>
                <w:lang w:val="en-US" w:eastAsia="zh-CN"/>
              </w:rPr>
              <w:t>总价</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后期</w:t>
            </w:r>
            <w:r>
              <w:rPr>
                <w:rFonts w:hint="eastAsia" w:ascii="宋体" w:hAnsi="宋体" w:cs="宋体"/>
                <w:color w:val="auto"/>
                <w:kern w:val="0"/>
                <w:szCs w:val="21"/>
                <w:highlight w:val="none"/>
              </w:rPr>
              <w:t>不予调整。</w:t>
            </w:r>
          </w:p>
        </w:tc>
      </w:tr>
      <w:tr w14:paraId="0ACF496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DF10384">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461" w:type="dxa"/>
            <w:tcBorders>
              <w:top w:val="single" w:color="auto" w:sz="4" w:space="0"/>
              <w:left w:val="single" w:color="auto" w:sz="4" w:space="0"/>
              <w:bottom w:val="single" w:color="auto" w:sz="4" w:space="0"/>
              <w:right w:val="single" w:color="auto" w:sz="4" w:space="0"/>
            </w:tcBorders>
            <w:vAlign w:val="center"/>
          </w:tcPr>
          <w:p w14:paraId="422098F3">
            <w:pPr>
              <w:pStyle w:val="14"/>
              <w:spacing w:line="440" w:lineRule="exact"/>
              <w:jc w:val="center"/>
              <w:rPr>
                <w:rFonts w:hAnsi="宋体" w:cs="宋体"/>
                <w:color w:val="auto"/>
                <w:szCs w:val="21"/>
                <w:highlight w:val="none"/>
              </w:rPr>
            </w:pPr>
            <w:r>
              <w:rPr>
                <w:rFonts w:hint="eastAsia" w:hAnsi="宋体" w:cs="宋体"/>
                <w:color w:val="auto"/>
                <w:szCs w:val="21"/>
                <w:highlight w:val="none"/>
              </w:rPr>
              <w:t>评标委员会</w:t>
            </w:r>
          </w:p>
          <w:p w14:paraId="77986C61">
            <w:pPr>
              <w:pStyle w:val="14"/>
              <w:spacing w:line="440" w:lineRule="exact"/>
              <w:jc w:val="center"/>
              <w:rPr>
                <w:rFonts w:hAnsi="宋体" w:cs="宋体"/>
                <w:color w:val="auto"/>
                <w:kern w:val="0"/>
                <w:szCs w:val="21"/>
                <w:highlight w:val="none"/>
              </w:rPr>
            </w:pPr>
            <w:r>
              <w:rPr>
                <w:rFonts w:hint="eastAsia" w:hAnsi="宋体" w:cs="宋体"/>
                <w:color w:val="auto"/>
                <w:szCs w:val="21"/>
                <w:highlight w:val="none"/>
              </w:rPr>
              <w:t>会的组建</w:t>
            </w:r>
          </w:p>
        </w:tc>
        <w:tc>
          <w:tcPr>
            <w:tcW w:w="7855" w:type="dxa"/>
            <w:tcBorders>
              <w:top w:val="single" w:color="auto" w:sz="4" w:space="0"/>
              <w:left w:val="single" w:color="auto" w:sz="4" w:space="0"/>
              <w:bottom w:val="single" w:color="auto" w:sz="4" w:space="0"/>
              <w:right w:val="single" w:color="auto" w:sz="8" w:space="0"/>
            </w:tcBorders>
            <w:vAlign w:val="center"/>
          </w:tcPr>
          <w:p w14:paraId="2D82B7BB">
            <w:pPr>
              <w:pStyle w:val="14"/>
              <w:spacing w:line="440" w:lineRule="exact"/>
              <w:rPr>
                <w:rFonts w:hAnsi="宋体" w:cs="宋体"/>
                <w:color w:val="auto"/>
                <w:kern w:val="0"/>
                <w:szCs w:val="21"/>
                <w:highlight w:val="none"/>
              </w:rPr>
            </w:pPr>
            <w:r>
              <w:rPr>
                <w:rFonts w:hint="eastAsia" w:hAnsi="宋体" w:cs="宋体"/>
                <w:color w:val="auto"/>
                <w:szCs w:val="21"/>
                <w:highlight w:val="none"/>
              </w:rPr>
              <w:t>评标委员会</w:t>
            </w:r>
            <w:r>
              <w:rPr>
                <w:rFonts w:hint="eastAsia" w:ascii="宋体" w:hAnsi="宋体" w:cs="宋体"/>
                <w:color w:val="auto"/>
                <w:szCs w:val="21"/>
                <w:highlight w:val="none"/>
              </w:rPr>
              <w:t>由1名采购人代表和</w:t>
            </w:r>
            <w:r>
              <w:rPr>
                <w:rFonts w:hint="eastAsia" w:hAnsi="宋体" w:cs="宋体"/>
                <w:color w:val="auto"/>
                <w:szCs w:val="21"/>
                <w:highlight w:val="none"/>
                <w:lang w:val="en-US" w:eastAsia="zh-CN"/>
              </w:rPr>
              <w:t>4</w:t>
            </w:r>
            <w:r>
              <w:rPr>
                <w:rFonts w:hint="eastAsia" w:hAnsi="宋体" w:cs="宋体"/>
                <w:color w:val="auto"/>
                <w:szCs w:val="21"/>
                <w:highlight w:val="none"/>
              </w:rPr>
              <w:t>名专家评委组建</w:t>
            </w:r>
            <w:r>
              <w:rPr>
                <w:rFonts w:hint="eastAsia" w:hAnsi="宋体" w:cs="宋体"/>
                <w:color w:val="auto"/>
                <w:szCs w:val="21"/>
                <w:highlight w:val="none"/>
              </w:rPr>
              <w:t>；</w:t>
            </w:r>
          </w:p>
        </w:tc>
      </w:tr>
      <w:tr w14:paraId="2B1FE6BE">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4D3F4D9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461" w:type="dxa"/>
            <w:tcBorders>
              <w:top w:val="single" w:color="auto" w:sz="4" w:space="0"/>
              <w:left w:val="single" w:color="auto" w:sz="4" w:space="0"/>
              <w:bottom w:val="single" w:color="auto" w:sz="4" w:space="0"/>
              <w:right w:val="single" w:color="auto" w:sz="4" w:space="0"/>
            </w:tcBorders>
            <w:vAlign w:val="center"/>
          </w:tcPr>
          <w:p w14:paraId="109109B4">
            <w:pPr>
              <w:pStyle w:val="14"/>
              <w:wordWrap w:val="0"/>
              <w:spacing w:line="440" w:lineRule="exact"/>
              <w:jc w:val="center"/>
              <w:rPr>
                <w:rFonts w:hAnsi="宋体" w:cs="宋体"/>
                <w:b/>
                <w:bCs/>
                <w:color w:val="auto"/>
                <w:szCs w:val="21"/>
                <w:highlight w:val="none"/>
              </w:rPr>
            </w:pPr>
            <w:r>
              <w:rPr>
                <w:rFonts w:hint="eastAsia" w:hAnsi="宋体" w:cs="宋体"/>
                <w:color w:val="auto"/>
                <w:szCs w:val="21"/>
                <w:highlight w:val="none"/>
              </w:rPr>
              <w:t>是否授权评标委员会确定中标候选人</w:t>
            </w:r>
          </w:p>
        </w:tc>
        <w:tc>
          <w:tcPr>
            <w:tcW w:w="7855" w:type="dxa"/>
            <w:tcBorders>
              <w:top w:val="single" w:color="auto" w:sz="4" w:space="0"/>
              <w:left w:val="single" w:color="auto" w:sz="4" w:space="0"/>
              <w:bottom w:val="single" w:color="auto" w:sz="4" w:space="0"/>
              <w:right w:val="single" w:color="auto" w:sz="8" w:space="0"/>
            </w:tcBorders>
            <w:vAlign w:val="center"/>
          </w:tcPr>
          <w:p w14:paraId="272E026D">
            <w:pPr>
              <w:pStyle w:val="14"/>
              <w:wordWrap w:val="0"/>
              <w:spacing w:line="440" w:lineRule="exact"/>
              <w:rPr>
                <w:rFonts w:hAnsi="宋体" w:cs="宋体"/>
                <w:b/>
                <w:bCs/>
                <w:color w:val="auto"/>
                <w:szCs w:val="21"/>
                <w:highlight w:val="none"/>
              </w:rPr>
            </w:pPr>
            <w:r>
              <w:rPr>
                <w:rFonts w:hint="eastAsia" w:hAnsi="宋体" w:cs="宋体"/>
                <w:color w:val="auto"/>
                <w:szCs w:val="21"/>
                <w:highlight w:val="none"/>
              </w:rPr>
              <w:t>是，由评标委员会推荐3名中标候选人。</w:t>
            </w:r>
          </w:p>
        </w:tc>
      </w:tr>
      <w:tr w14:paraId="23AFC0DB">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01E3C40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461" w:type="dxa"/>
            <w:tcBorders>
              <w:top w:val="single" w:color="auto" w:sz="4" w:space="0"/>
              <w:left w:val="single" w:color="auto" w:sz="4" w:space="0"/>
              <w:bottom w:val="single" w:color="auto" w:sz="4" w:space="0"/>
              <w:right w:val="single" w:color="auto" w:sz="4" w:space="0"/>
            </w:tcBorders>
            <w:vAlign w:val="center"/>
          </w:tcPr>
          <w:p w14:paraId="19E3A1C0">
            <w:pPr>
              <w:pStyle w:val="14"/>
              <w:wordWrap w:val="0"/>
              <w:spacing w:line="440" w:lineRule="exact"/>
              <w:jc w:val="center"/>
              <w:rPr>
                <w:rFonts w:hAnsi="宋体" w:cs="宋体"/>
                <w:color w:val="auto"/>
                <w:szCs w:val="21"/>
                <w:highlight w:val="none"/>
              </w:rPr>
            </w:pPr>
            <w:r>
              <w:rPr>
                <w:rFonts w:hint="eastAsia" w:hAnsi="宋体" w:cs="宋体"/>
                <w:color w:val="auto"/>
                <w:szCs w:val="21"/>
                <w:highlight w:val="none"/>
              </w:rPr>
              <w:t>中标候选人公示媒介</w:t>
            </w:r>
          </w:p>
        </w:tc>
        <w:tc>
          <w:tcPr>
            <w:tcW w:w="7855" w:type="dxa"/>
            <w:tcBorders>
              <w:top w:val="single" w:color="auto" w:sz="4" w:space="0"/>
              <w:left w:val="single" w:color="auto" w:sz="4" w:space="0"/>
              <w:bottom w:val="single" w:color="auto" w:sz="4" w:space="0"/>
              <w:right w:val="single" w:color="auto" w:sz="8" w:space="0"/>
            </w:tcBorders>
            <w:vAlign w:val="center"/>
          </w:tcPr>
          <w:p w14:paraId="4CC1037D">
            <w:pPr>
              <w:pStyle w:val="14"/>
              <w:wordWrap w:val="0"/>
              <w:spacing w:line="440" w:lineRule="exact"/>
              <w:rPr>
                <w:rFonts w:hAnsi="宋体" w:cs="宋体"/>
                <w:color w:val="auto"/>
                <w:szCs w:val="21"/>
                <w:highlight w:val="none"/>
              </w:rPr>
            </w:pPr>
            <w:r>
              <w:rPr>
                <w:rFonts w:hint="eastAsia" w:ascii="宋体" w:hAnsi="宋体" w:cs="宋体"/>
                <w:bCs/>
                <w:color w:val="auto"/>
                <w:szCs w:val="21"/>
                <w:highlight w:val="none"/>
              </w:rPr>
              <w:t>滁州学院信息公开网（http://www.chzu.edu.cn/public/）</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滁州市城投工程咨询管理有限公司官网（https://www.czctgczx.com/）等网站</w:t>
            </w:r>
          </w:p>
        </w:tc>
      </w:tr>
      <w:tr w14:paraId="487A8F09">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886615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461" w:type="dxa"/>
            <w:tcBorders>
              <w:top w:val="single" w:color="auto" w:sz="4" w:space="0"/>
              <w:left w:val="single" w:color="auto" w:sz="4" w:space="0"/>
              <w:bottom w:val="single" w:color="auto" w:sz="4" w:space="0"/>
              <w:right w:val="single" w:color="auto" w:sz="4" w:space="0"/>
            </w:tcBorders>
            <w:vAlign w:val="center"/>
          </w:tcPr>
          <w:p w14:paraId="4651CB0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成交服务费</w:t>
            </w:r>
          </w:p>
        </w:tc>
        <w:tc>
          <w:tcPr>
            <w:tcW w:w="7855" w:type="dxa"/>
            <w:tcBorders>
              <w:top w:val="single" w:color="auto" w:sz="4" w:space="0"/>
              <w:left w:val="single" w:color="auto" w:sz="4" w:space="0"/>
              <w:bottom w:val="single" w:color="auto" w:sz="4" w:space="0"/>
              <w:right w:val="single" w:color="auto" w:sz="8" w:space="0"/>
            </w:tcBorders>
            <w:vAlign w:val="center"/>
          </w:tcPr>
          <w:p w14:paraId="4AE7C09C">
            <w:pPr>
              <w:spacing w:line="440" w:lineRule="exact"/>
              <w:rPr>
                <w:rFonts w:ascii="宋体" w:hAnsi="宋体" w:cs="宋体"/>
                <w:color w:val="auto"/>
                <w:szCs w:val="21"/>
                <w:highlight w:val="none"/>
              </w:rPr>
            </w:pPr>
            <w:r>
              <w:rPr>
                <w:rFonts w:hint="eastAsia" w:ascii="宋体" w:hAnsi="宋体" w:cs="宋体"/>
                <w:bCs/>
                <w:color w:val="auto"/>
                <w:szCs w:val="21"/>
                <w:highlight w:val="none"/>
              </w:rPr>
              <w:t>按照计价格[2002]1980 号文规定标准的80%向所代理项目的中标（成交）人收取采购代理服务费。上述费用由中标（成交）人在领取中标通知书前一次性支付给代理机构。</w:t>
            </w:r>
          </w:p>
          <w:p w14:paraId="66E70A14">
            <w:pPr>
              <w:spacing w:line="440" w:lineRule="exact"/>
              <w:rPr>
                <w:rFonts w:ascii="宋体" w:hAnsi="宋体" w:cs="宋体"/>
                <w:color w:val="auto"/>
                <w:szCs w:val="21"/>
                <w:highlight w:val="none"/>
              </w:rPr>
            </w:pPr>
            <w:r>
              <w:rPr>
                <w:rFonts w:hint="eastAsia" w:ascii="宋体" w:hAnsi="宋体" w:cs="宋体"/>
                <w:bCs/>
                <w:color w:val="auto"/>
                <w:szCs w:val="21"/>
                <w:highlight w:val="none"/>
                <w:lang w:val="en-US" w:eastAsia="zh-CN"/>
              </w:rPr>
              <w:t>不足3500元的按3500元计取</w:t>
            </w:r>
            <w:r>
              <w:rPr>
                <w:rFonts w:hint="eastAsia" w:ascii="宋体" w:hAnsi="宋体" w:cs="宋体"/>
                <w:color w:val="auto"/>
                <w:szCs w:val="21"/>
                <w:highlight w:val="none"/>
              </w:rPr>
              <w:t>。</w:t>
            </w:r>
          </w:p>
        </w:tc>
      </w:tr>
      <w:tr w14:paraId="7A1FC569">
        <w:tblPrEx>
          <w:tblCellMar>
            <w:top w:w="0" w:type="dxa"/>
            <w:left w:w="0" w:type="dxa"/>
            <w:bottom w:w="0" w:type="dxa"/>
            <w:right w:w="0" w:type="dxa"/>
          </w:tblCellMar>
        </w:tblPrEx>
        <w:trPr>
          <w:trHeight w:val="6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0CE2A1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461" w:type="dxa"/>
            <w:tcBorders>
              <w:top w:val="single" w:color="auto" w:sz="4" w:space="0"/>
              <w:left w:val="single" w:color="auto" w:sz="4" w:space="0"/>
              <w:bottom w:val="single" w:color="auto" w:sz="4" w:space="0"/>
              <w:right w:val="single" w:color="auto" w:sz="4" w:space="0"/>
            </w:tcBorders>
            <w:vAlign w:val="center"/>
          </w:tcPr>
          <w:p w14:paraId="20312AFE">
            <w:pPr>
              <w:spacing w:line="440" w:lineRule="exact"/>
              <w:jc w:val="center"/>
              <w:rPr>
                <w:rFonts w:ascii="宋体" w:hAnsi="宋体" w:cs="宋体"/>
                <w:color w:val="auto"/>
                <w:kern w:val="0"/>
                <w:szCs w:val="21"/>
                <w:highlight w:val="none"/>
              </w:rPr>
            </w:pPr>
            <w:r>
              <w:rPr>
                <w:rFonts w:hint="eastAsia" w:ascii="宋体" w:hAnsi="宋体" w:cs="宋体"/>
                <w:bCs/>
                <w:color w:val="auto"/>
                <w:szCs w:val="21"/>
                <w:highlight w:val="none"/>
              </w:rPr>
              <w:t>履约担保</w:t>
            </w:r>
          </w:p>
        </w:tc>
        <w:tc>
          <w:tcPr>
            <w:tcW w:w="7855" w:type="dxa"/>
            <w:tcBorders>
              <w:top w:val="single" w:color="auto" w:sz="4" w:space="0"/>
              <w:left w:val="single" w:color="auto" w:sz="4" w:space="0"/>
              <w:bottom w:val="single" w:color="auto" w:sz="4" w:space="0"/>
              <w:right w:val="single" w:color="auto" w:sz="8" w:space="0"/>
            </w:tcBorders>
          </w:tcPr>
          <w:p w14:paraId="194B111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履约担保的形式：转账</w:t>
            </w:r>
          </w:p>
          <w:p w14:paraId="6FDA74E4">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履约担保的金额：中标价款的</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p>
          <w:p w14:paraId="2AC3461E">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缴纳时间：签订合同前</w:t>
            </w:r>
          </w:p>
          <w:p w14:paraId="2065A6F8">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中标人在签订合同前需将中标价款2%的履约保证金交至学校指定账户，供货（服务）完成，经采购人验收合格后，一次性退还履约保证金。</w:t>
            </w:r>
          </w:p>
          <w:p w14:paraId="76C3492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单位：滁州学院</w:t>
            </w:r>
          </w:p>
          <w:p w14:paraId="3CDABEA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开户行：工行醉翁亭支行</w:t>
            </w:r>
          </w:p>
          <w:p w14:paraId="2ECFEF65">
            <w:pPr>
              <w:spacing w:line="440" w:lineRule="exact"/>
              <w:rPr>
                <w:rFonts w:ascii="宋体" w:hAnsi="宋体" w:cs="宋体"/>
                <w:color w:val="auto"/>
                <w:szCs w:val="21"/>
                <w:highlight w:val="none"/>
              </w:rPr>
            </w:pPr>
            <w:r>
              <w:rPr>
                <w:rFonts w:hint="eastAsia" w:ascii="宋体" w:hAnsi="宋体" w:cs="宋体"/>
                <w:color w:val="auto"/>
                <w:szCs w:val="21"/>
                <w:highlight w:val="none"/>
              </w:rPr>
              <w:t>账号：1313062809024904784</w:t>
            </w:r>
          </w:p>
        </w:tc>
      </w:tr>
      <w:tr w14:paraId="05414BCF">
        <w:tblPrEx>
          <w:tblCellMar>
            <w:top w:w="0" w:type="dxa"/>
            <w:left w:w="0" w:type="dxa"/>
            <w:bottom w:w="0" w:type="dxa"/>
            <w:right w:w="0" w:type="dxa"/>
          </w:tblCellMar>
        </w:tblPrEx>
        <w:trPr>
          <w:trHeight w:val="588"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FE5578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461" w:type="dxa"/>
            <w:tcBorders>
              <w:top w:val="single" w:color="auto" w:sz="4" w:space="0"/>
              <w:left w:val="single" w:color="auto" w:sz="4" w:space="0"/>
              <w:bottom w:val="single" w:color="auto" w:sz="4" w:space="0"/>
              <w:right w:val="single" w:color="auto" w:sz="4" w:space="0"/>
            </w:tcBorders>
            <w:vAlign w:val="center"/>
          </w:tcPr>
          <w:p w14:paraId="0C5C0F7E">
            <w:pPr>
              <w:spacing w:line="440" w:lineRule="exact"/>
              <w:jc w:val="center"/>
              <w:rPr>
                <w:rFonts w:ascii="宋体" w:hAnsi="宋体" w:cs="宋体"/>
                <w:color w:val="auto"/>
                <w:kern w:val="0"/>
                <w:szCs w:val="21"/>
                <w:highlight w:val="none"/>
              </w:rPr>
            </w:pPr>
            <w:r>
              <w:rPr>
                <w:rFonts w:hint="eastAsia" w:ascii="宋体" w:hAnsi="宋体" w:eastAsia="宋体" w:cs="宋体"/>
                <w:bCs/>
                <w:color w:val="auto"/>
                <w:szCs w:val="21"/>
                <w:highlight w:val="none"/>
              </w:rPr>
              <w:t>付款方式</w:t>
            </w:r>
          </w:p>
        </w:tc>
        <w:tc>
          <w:tcPr>
            <w:tcW w:w="7855" w:type="dxa"/>
            <w:tcBorders>
              <w:top w:val="single" w:color="auto" w:sz="4" w:space="0"/>
              <w:left w:val="single" w:color="auto" w:sz="4" w:space="0"/>
              <w:bottom w:val="single" w:color="auto" w:sz="4" w:space="0"/>
              <w:right w:val="single" w:color="auto" w:sz="8" w:space="0"/>
            </w:tcBorders>
            <w:vAlign w:val="center"/>
          </w:tcPr>
          <w:p w14:paraId="42CB1DC1">
            <w:pPr>
              <w:autoSpaceDE w:val="0"/>
              <w:autoSpaceDN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合同签订生效并具备实施条件后5个工作日内支付合同价的 40%预付款（预付款支付前，中标人须提供同等金额的见索即付预付款保函），全部供货安装调试完毕并由采购人验收合格后，一次性付清合同款。</w:t>
            </w:r>
          </w:p>
        </w:tc>
      </w:tr>
      <w:tr w14:paraId="599DE893">
        <w:tblPrEx>
          <w:tblCellMar>
            <w:top w:w="0" w:type="dxa"/>
            <w:left w:w="0" w:type="dxa"/>
            <w:bottom w:w="0" w:type="dxa"/>
            <w:right w:w="0" w:type="dxa"/>
          </w:tblCellMar>
        </w:tblPrEx>
        <w:trPr>
          <w:trHeight w:val="1813"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505FDBF">
            <w:pPr>
              <w:spacing w:line="440" w:lineRule="exact"/>
              <w:jc w:val="center"/>
              <w:rPr>
                <w:rFonts w:ascii="宋体" w:hAnsi="宋体" w:cs="宋体"/>
                <w:color w:val="auto"/>
                <w:kern w:val="0"/>
                <w:szCs w:val="21"/>
                <w:highlight w:val="none"/>
              </w:rPr>
            </w:pPr>
            <w:bookmarkStart w:id="39" w:name="_Toc16641"/>
            <w:r>
              <w:rPr>
                <w:rFonts w:hint="eastAsia" w:ascii="宋体" w:hAnsi="宋体" w:cs="宋体"/>
                <w:color w:val="auto"/>
                <w:kern w:val="0"/>
                <w:szCs w:val="21"/>
                <w:highlight w:val="none"/>
              </w:rPr>
              <w:t>29</w:t>
            </w:r>
          </w:p>
        </w:tc>
        <w:tc>
          <w:tcPr>
            <w:tcW w:w="1461" w:type="dxa"/>
            <w:tcBorders>
              <w:top w:val="single" w:color="auto" w:sz="4" w:space="0"/>
              <w:left w:val="single" w:color="auto" w:sz="4" w:space="0"/>
              <w:bottom w:val="single" w:color="auto" w:sz="4" w:space="0"/>
              <w:right w:val="single" w:color="auto" w:sz="4" w:space="0"/>
            </w:tcBorders>
            <w:vAlign w:val="center"/>
          </w:tcPr>
          <w:p w14:paraId="41E44F0B">
            <w:pPr>
              <w:spacing w:line="44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备注</w:t>
            </w:r>
          </w:p>
        </w:tc>
        <w:tc>
          <w:tcPr>
            <w:tcW w:w="7855" w:type="dxa"/>
            <w:tcBorders>
              <w:top w:val="single" w:color="auto" w:sz="4" w:space="0"/>
              <w:left w:val="single" w:color="auto" w:sz="4" w:space="0"/>
              <w:bottom w:val="single" w:color="auto" w:sz="4" w:space="0"/>
              <w:right w:val="single" w:color="auto" w:sz="8" w:space="0"/>
            </w:tcBorders>
            <w:vAlign w:val="center"/>
          </w:tcPr>
          <w:p w14:paraId="04E0A21A">
            <w:pPr>
              <w:spacing w:line="440" w:lineRule="exact"/>
              <w:rPr>
                <w:rFonts w:hint="eastAsia" w:ascii="宋体" w:hAnsi="宋体" w:cs="宋体"/>
                <w:color w:val="auto"/>
                <w:kern w:val="0"/>
                <w:szCs w:val="21"/>
                <w:highlight w:val="none"/>
                <w:u w:color="000000"/>
              </w:rPr>
            </w:pPr>
            <w:r>
              <w:rPr>
                <w:rFonts w:hint="eastAsia" w:ascii="宋体" w:hAnsi="宋体" w:cs="宋体"/>
                <w:color w:val="auto"/>
                <w:kern w:val="0"/>
                <w:szCs w:val="21"/>
                <w:highlight w:val="none"/>
                <w:u w:color="000000"/>
              </w:rPr>
              <w:t>1.供应商若为外资企业或法定代表人为非中华人民共和国公民，成交后将供应商及其法定代表人进行网上公示，如有失信行为将取消成交候选人资格。</w:t>
            </w:r>
          </w:p>
          <w:p w14:paraId="387C699D">
            <w:pPr>
              <w:spacing w:line="440" w:lineRule="exact"/>
              <w:rPr>
                <w:rFonts w:hint="eastAsia" w:ascii="宋体" w:hAnsi="宋体" w:cs="宋体"/>
                <w:color w:val="auto"/>
                <w:kern w:val="0"/>
                <w:szCs w:val="21"/>
                <w:highlight w:val="none"/>
                <w:u w:color="000000"/>
              </w:rPr>
            </w:pPr>
            <w:r>
              <w:rPr>
                <w:rFonts w:hint="eastAsia" w:ascii="宋体" w:hAnsi="宋体" w:cs="宋体"/>
                <w:color w:val="auto"/>
                <w:kern w:val="0"/>
                <w:szCs w:val="21"/>
                <w:highlight w:val="none"/>
                <w:u w:color="000000"/>
              </w:rPr>
              <w:t>2.本</w:t>
            </w:r>
            <w:r>
              <w:rPr>
                <w:rFonts w:hint="eastAsia" w:ascii="宋体" w:hAnsi="宋体" w:cs="宋体"/>
                <w:color w:val="auto"/>
                <w:kern w:val="0"/>
                <w:szCs w:val="21"/>
                <w:highlight w:val="none"/>
                <w:u w:color="000000"/>
                <w:lang w:eastAsia="zh-CN"/>
              </w:rPr>
              <w:t>招标文件</w:t>
            </w:r>
            <w:r>
              <w:rPr>
                <w:rFonts w:hint="eastAsia" w:ascii="宋体" w:hAnsi="宋体" w:cs="宋体"/>
                <w:color w:val="auto"/>
                <w:kern w:val="0"/>
                <w:szCs w:val="21"/>
                <w:highlight w:val="none"/>
                <w:u w:color="000000"/>
              </w:rPr>
              <w:t>前后条款若有不一致之处，在澄清答疑时又未作出明确时，各供应商的</w:t>
            </w:r>
            <w:r>
              <w:rPr>
                <w:rFonts w:hint="eastAsia" w:ascii="宋体" w:hAnsi="宋体" w:cs="宋体"/>
                <w:color w:val="auto"/>
                <w:kern w:val="0"/>
                <w:szCs w:val="21"/>
                <w:highlight w:val="none"/>
                <w:u w:color="000000"/>
                <w:lang w:eastAsia="zh-CN"/>
              </w:rPr>
              <w:t>投标文件</w:t>
            </w:r>
            <w:r>
              <w:rPr>
                <w:rFonts w:hint="eastAsia" w:ascii="宋体" w:hAnsi="宋体" w:cs="宋体"/>
                <w:color w:val="auto"/>
                <w:kern w:val="0"/>
                <w:szCs w:val="21"/>
                <w:highlight w:val="none"/>
                <w:u w:color="000000"/>
              </w:rPr>
              <w:t>只要满足其中任一条款均视为对</w:t>
            </w:r>
            <w:r>
              <w:rPr>
                <w:rFonts w:hint="eastAsia" w:ascii="宋体" w:hAnsi="宋体" w:cs="宋体"/>
                <w:color w:val="auto"/>
                <w:kern w:val="0"/>
                <w:szCs w:val="21"/>
                <w:highlight w:val="none"/>
                <w:u w:color="000000"/>
                <w:lang w:val="en-US" w:eastAsia="zh-CN"/>
              </w:rPr>
              <w:t>招标</w:t>
            </w:r>
            <w:r>
              <w:rPr>
                <w:rFonts w:hint="eastAsia" w:ascii="宋体" w:hAnsi="宋体" w:cs="宋体"/>
                <w:color w:val="auto"/>
                <w:kern w:val="0"/>
                <w:szCs w:val="21"/>
                <w:highlight w:val="none"/>
                <w:u w:color="000000"/>
              </w:rPr>
              <w:t>文件的响应。</w:t>
            </w:r>
          </w:p>
          <w:p w14:paraId="11E3CB82">
            <w:pPr>
              <w:spacing w:line="440" w:lineRule="exact"/>
              <w:rPr>
                <w:rFonts w:hint="eastAsia" w:ascii="宋体" w:hAnsi="宋体" w:cs="宋体"/>
                <w:color w:val="auto"/>
                <w:kern w:val="0"/>
                <w:szCs w:val="21"/>
                <w:highlight w:val="none"/>
                <w:u w:color="000000"/>
              </w:rPr>
            </w:pPr>
            <w:r>
              <w:rPr>
                <w:rFonts w:hint="eastAsia" w:ascii="宋体" w:hAnsi="宋体" w:cs="宋体"/>
                <w:color w:val="auto"/>
                <w:kern w:val="0"/>
                <w:szCs w:val="21"/>
                <w:highlight w:val="none"/>
                <w:u w:color="000000"/>
              </w:rPr>
              <w:t>3.评标委员会只依靠供应商递交的</w:t>
            </w:r>
            <w:r>
              <w:rPr>
                <w:rFonts w:hint="eastAsia" w:ascii="宋体" w:hAnsi="宋体" w:cs="宋体"/>
                <w:color w:val="auto"/>
                <w:kern w:val="0"/>
                <w:szCs w:val="21"/>
                <w:highlight w:val="none"/>
                <w:u w:color="000000"/>
                <w:lang w:eastAsia="zh-CN"/>
              </w:rPr>
              <w:t>投标文件</w:t>
            </w:r>
            <w:r>
              <w:rPr>
                <w:rFonts w:hint="eastAsia" w:ascii="宋体" w:hAnsi="宋体" w:cs="宋体"/>
                <w:color w:val="auto"/>
                <w:kern w:val="0"/>
                <w:szCs w:val="21"/>
                <w:highlight w:val="none"/>
                <w:u w:color="000000"/>
              </w:rPr>
              <w:t>及其按照</w:t>
            </w:r>
            <w:r>
              <w:rPr>
                <w:rFonts w:hint="eastAsia" w:ascii="宋体" w:hAnsi="宋体" w:cs="宋体"/>
                <w:color w:val="auto"/>
                <w:kern w:val="0"/>
                <w:szCs w:val="21"/>
                <w:highlight w:val="none"/>
                <w:u w:color="000000"/>
                <w:lang w:val="en-US" w:eastAsia="zh-CN"/>
              </w:rPr>
              <w:t>招标</w:t>
            </w:r>
            <w:r>
              <w:rPr>
                <w:rFonts w:hint="eastAsia" w:ascii="宋体" w:hAnsi="宋体" w:cs="宋体"/>
                <w:color w:val="auto"/>
                <w:kern w:val="0"/>
                <w:szCs w:val="21"/>
                <w:highlight w:val="none"/>
                <w:u w:color="000000"/>
              </w:rPr>
              <w:t>文件要求提供的所有证明材料进行评审，而不依靠任何外来的证明材料。</w:t>
            </w:r>
          </w:p>
          <w:p w14:paraId="1B5CFE8B">
            <w:pPr>
              <w:spacing w:line="440" w:lineRule="exact"/>
              <w:rPr>
                <w:rFonts w:ascii="宋体" w:hAnsi="宋体" w:cs="宋体"/>
                <w:color w:val="auto"/>
                <w:szCs w:val="21"/>
                <w:highlight w:val="none"/>
              </w:rPr>
            </w:pPr>
            <w:r>
              <w:rPr>
                <w:rFonts w:hint="eastAsia" w:ascii="宋体" w:hAnsi="宋体" w:cs="宋体"/>
                <w:color w:val="auto"/>
                <w:kern w:val="0"/>
                <w:szCs w:val="21"/>
                <w:highlight w:val="none"/>
                <w:u w:color="000000"/>
              </w:rPr>
              <w:t xml:space="preserve">4.本文件的最终解释权归采购人、代理机构所有。  </w:t>
            </w:r>
          </w:p>
        </w:tc>
      </w:tr>
      <w:tr w14:paraId="01377C3B">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9F0243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461" w:type="dxa"/>
            <w:tcBorders>
              <w:top w:val="single" w:color="auto" w:sz="4" w:space="0"/>
              <w:left w:val="single" w:color="auto" w:sz="4" w:space="0"/>
              <w:bottom w:val="single" w:color="auto" w:sz="4" w:space="0"/>
              <w:right w:val="single" w:color="auto" w:sz="4" w:space="0"/>
            </w:tcBorders>
            <w:vAlign w:val="center"/>
          </w:tcPr>
          <w:p w14:paraId="2CAA69DD">
            <w:pPr>
              <w:pageBreakBefore w:val="0"/>
              <w:kinsoku/>
              <w:wordWrap w:val="0"/>
              <w:topLinePunct w:val="0"/>
              <w:bidi w:val="0"/>
              <w:spacing w:line="5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特别说明</w:t>
            </w:r>
          </w:p>
        </w:tc>
        <w:tc>
          <w:tcPr>
            <w:tcW w:w="7855" w:type="dxa"/>
            <w:tcBorders>
              <w:top w:val="single" w:color="auto" w:sz="4" w:space="0"/>
              <w:left w:val="single" w:color="auto" w:sz="4" w:space="0"/>
              <w:bottom w:val="single" w:color="auto" w:sz="4" w:space="0"/>
              <w:right w:val="single" w:color="auto" w:sz="8" w:space="0"/>
            </w:tcBorders>
            <w:vAlign w:val="center"/>
          </w:tcPr>
          <w:p w14:paraId="7AFA53F4">
            <w:pPr>
              <w:pStyle w:val="52"/>
              <w:pageBreakBefore w:val="0"/>
              <w:kinsoku/>
              <w:wordWrap w:val="0"/>
              <w:topLinePunct w:val="0"/>
              <w:bidi w:val="0"/>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请于公告发布之日起从滁州市城投工程咨询管理有限公司官网（https://www.czctgczx.com/），点击项目招标公告下方【我要投标】，登录新点电子交易平台后在【滁州专区】（https://www.etrading.cn/BREpointSSO/login/oauth2login?regioncode=DQ_ChuZhou）下载本项目采购文件。供应商自行承担因未按要求获取采购文件导致无法上传电子投标文件的风险。</w:t>
            </w:r>
          </w:p>
          <w:p w14:paraId="3AC87985">
            <w:pPr>
              <w:pStyle w:val="52"/>
              <w:pageBreakBefore w:val="0"/>
              <w:kinsoku/>
              <w:wordWrap w:val="0"/>
              <w:topLinePunct w:val="0"/>
              <w:bidi w:val="0"/>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7890AED9">
            <w:pPr>
              <w:pStyle w:val="52"/>
              <w:pageBreakBefore w:val="0"/>
              <w:kinsoku/>
              <w:wordWrap w:val="0"/>
              <w:topLinePunct w:val="0"/>
              <w:bidi w:val="0"/>
              <w:spacing w:line="5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3.供应商登录新点电子交易平台【滁州专区】获取采购文件及其它资料（含澄清和补充说明等）。如在采购文件获取过程中遇到系统问题，请拨打技术支持服务热线4009280095或者网站首页在线客服。</w:t>
            </w:r>
          </w:p>
          <w:p w14:paraId="4D4C3049">
            <w:pPr>
              <w:pStyle w:val="52"/>
              <w:pageBreakBefore w:val="0"/>
              <w:kinsoku/>
              <w:wordWrap w:val="0"/>
              <w:topLinePunct w:val="0"/>
              <w:bidi w:val="0"/>
              <w:spacing w:line="5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4.采购文件及相关资料售价：人民币0元/套（含清单控制价、图纸及澄清答疑文件）。</w:t>
            </w:r>
          </w:p>
          <w:p w14:paraId="24AC474A">
            <w:pPr>
              <w:pStyle w:val="52"/>
              <w:pageBreakBefore w:val="0"/>
              <w:kinsoku/>
              <w:wordWrap w:val="0"/>
              <w:topLinePunct w:val="0"/>
              <w:bidi w:val="0"/>
              <w:spacing w:line="5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5.本项目采用不见面开标，投标人登录滁州市城投工程咨询有限公司不见面开标系统参与网上开标（网址：http://js.etrading.cn/EpointBidOpening/bidopeninghallaction/hall/login）。</w:t>
            </w:r>
          </w:p>
          <w:p w14:paraId="6E004FD7">
            <w:pPr>
              <w:pStyle w:val="52"/>
              <w:pageBreakBefore w:val="0"/>
              <w:kinsoku/>
              <w:wordWrap w:val="0"/>
              <w:topLinePunct w:val="0"/>
              <w:bidi w:val="0"/>
              <w:spacing w:line="5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6.供应商应在提交首次投标文件截止时间之前，登录新点电子交易平台【滁州专区】上传投标文件。供应商逾期上传投标文件的，电子系统不予受理。</w:t>
            </w:r>
          </w:p>
          <w:p w14:paraId="42AB63E6">
            <w:pPr>
              <w:pStyle w:val="52"/>
              <w:pageBreakBefore w:val="0"/>
              <w:kinsoku/>
              <w:wordWrap w:val="0"/>
              <w:topLinePunct w:val="0"/>
              <w:bidi w:val="0"/>
              <w:spacing w:line="5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7.供应商的联系人电话(手机)、电子邮箱等通讯方式在招标过程中必须保持畅通，否则因上述原因造成的后果，责任自负。</w:t>
            </w:r>
          </w:p>
          <w:p w14:paraId="485D722B">
            <w:pPr>
              <w:pStyle w:val="52"/>
              <w:pageBreakBefore w:val="0"/>
              <w:kinsoku/>
              <w:wordWrap w:val="0"/>
              <w:topLinePunct w:val="0"/>
              <w:bidi w:val="0"/>
              <w:spacing w:line="5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本项目采用电子招投标方式，请供应商在“新点电子交易平台”常用下载专区下载“新点电子交易平台专用投标文件制作软件”、“新点驱动（安徽省互联互通版）4.1”，仔细阅读采购文件要求和相关操作手册，以免影响投标文件编制，因供应商未及时关注相关信息对招标造成的不利后果由其自行承担。投标软件制作工具下载：</w:t>
            </w:r>
          </w:p>
          <w:p w14:paraId="3C3BFCB2">
            <w:pPr>
              <w:pStyle w:val="52"/>
              <w:pageBreakBefore w:val="0"/>
              <w:kinsoku/>
              <w:wordWrap w:val="0"/>
              <w:topLinePunct w:val="0"/>
              <w:bidi w:val="0"/>
              <w:spacing w:line="5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https://download.bqpoint.com/download/downloaddetail.html?SourceFrom=Ztb&amp;ZtbSoftXiaQuCode=0128&amp;ZtbSoftType=tballinclusive</w:t>
            </w:r>
          </w:p>
          <w:p w14:paraId="22421119">
            <w:pPr>
              <w:pStyle w:val="52"/>
              <w:pageBreakBefore w:val="0"/>
              <w:kinsoku/>
              <w:wordWrap w:val="0"/>
              <w:topLinePunct w:val="0"/>
              <w:bidi w:val="0"/>
              <w:spacing w:line="500" w:lineRule="exact"/>
              <w:rPr>
                <w:rFonts w:ascii="宋体" w:hAnsi="宋体" w:cs="宋体"/>
                <w:color w:val="auto"/>
                <w:kern w:val="0"/>
                <w:szCs w:val="21"/>
                <w:highlight w:val="none"/>
                <w:u w:color="000000"/>
              </w:rPr>
            </w:pPr>
            <w:r>
              <w:rPr>
                <w:rFonts w:hint="eastAsia" w:ascii="宋体" w:hAnsi="宋体" w:cs="宋体"/>
                <w:color w:val="auto"/>
                <w:sz w:val="21"/>
                <w:szCs w:val="21"/>
                <w:highlight w:val="none"/>
                <w:lang w:val="en-US" w:eastAsia="zh-CN"/>
              </w:rPr>
              <w:t>9.本项目开评标实行全流程电子化，在线完成投标。开启时供应商无需到达开启现场，不接受现场解密，实行远程解密和在线询标。各供应商认真学习《新点电子交易平台投标人操作手册》，务必掌握远程解密方法和在线回复询标方法。</w:t>
            </w:r>
          </w:p>
        </w:tc>
      </w:tr>
      <w:tr w14:paraId="7A5B124A">
        <w:tblPrEx>
          <w:tblCellMar>
            <w:top w:w="0" w:type="dxa"/>
            <w:left w:w="0" w:type="dxa"/>
            <w:bottom w:w="0" w:type="dxa"/>
            <w:right w:w="0" w:type="dxa"/>
          </w:tblCellMar>
        </w:tblPrEx>
        <w:trPr>
          <w:trHeight w:val="90" w:hRule="atLeast"/>
          <w:jc w:val="center"/>
        </w:trPr>
        <w:tc>
          <w:tcPr>
            <w:tcW w:w="10118" w:type="dxa"/>
            <w:gridSpan w:val="3"/>
            <w:tcBorders>
              <w:top w:val="single" w:color="auto" w:sz="4" w:space="0"/>
              <w:left w:val="single" w:color="auto" w:sz="8" w:space="0"/>
              <w:bottom w:val="single" w:color="auto" w:sz="4" w:space="0"/>
              <w:right w:val="single" w:color="auto" w:sz="8" w:space="0"/>
            </w:tcBorders>
            <w:vAlign w:val="center"/>
          </w:tcPr>
          <w:p w14:paraId="2E3900BE">
            <w:pPr>
              <w:pStyle w:val="52"/>
              <w:pageBreakBefore w:val="0"/>
              <w:kinsoku/>
              <w:wordWrap w:val="0"/>
              <w:topLinePunct w:val="0"/>
              <w:bidi w:val="0"/>
              <w:spacing w:line="500" w:lineRule="exact"/>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供应商在系统中制作或提交投标文件时，项目编号填写系统生</w:t>
            </w:r>
            <w:r>
              <w:rPr>
                <w:rFonts w:hint="eastAsia" w:ascii="宋体" w:hAnsi="宋体" w:cs="宋体"/>
                <w:b/>
                <w:bCs/>
                <w:color w:val="auto"/>
                <w:sz w:val="21"/>
                <w:szCs w:val="21"/>
                <w:highlight w:val="none"/>
                <w:lang w:val="en-US" w:eastAsia="zh-CN"/>
              </w:rPr>
              <w:t>成的编号“HXJY1110001034855001001”；</w:t>
            </w:r>
            <w:r>
              <w:rPr>
                <w:rFonts w:hint="eastAsia" w:ascii="宋体" w:hAnsi="宋体" w:cs="宋体"/>
                <w:b/>
                <w:bCs/>
                <w:color w:val="auto"/>
                <w:sz w:val="21"/>
                <w:szCs w:val="21"/>
                <w:highlight w:val="none"/>
                <w:lang w:val="en-US" w:eastAsia="zh-CN"/>
              </w:rPr>
              <w:t>具体投标文件里的内容所涉及到的项目编号以“2025CG-011”为准。</w:t>
            </w:r>
          </w:p>
        </w:tc>
      </w:tr>
    </w:tbl>
    <w:p w14:paraId="48A58E98">
      <w:pPr>
        <w:pageBreakBefore/>
        <w:spacing w:before="156" w:beforeLines="50" w:after="156" w:afterLines="50" w:line="44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第一章  投标须知</w:t>
      </w:r>
      <w:bookmarkEnd w:id="39"/>
    </w:p>
    <w:p w14:paraId="125C28AD">
      <w:pPr>
        <w:spacing w:before="156" w:beforeLines="50" w:after="156" w:afterLines="50" w:line="440" w:lineRule="exact"/>
        <w:jc w:val="center"/>
        <w:outlineLvl w:val="1"/>
        <w:rPr>
          <w:rFonts w:ascii="宋体" w:hAnsi="宋体" w:cs="宋体"/>
          <w:b/>
          <w:bCs/>
          <w:color w:val="auto"/>
          <w:sz w:val="28"/>
          <w:szCs w:val="28"/>
          <w:highlight w:val="none"/>
        </w:rPr>
      </w:pPr>
      <w:bookmarkStart w:id="40" w:name="_Toc13704"/>
      <w:r>
        <w:rPr>
          <w:rFonts w:hint="eastAsia" w:ascii="宋体" w:hAnsi="宋体" w:cs="宋体"/>
          <w:b/>
          <w:bCs/>
          <w:color w:val="auto"/>
          <w:sz w:val="28"/>
          <w:szCs w:val="28"/>
          <w:highlight w:val="none"/>
        </w:rPr>
        <w:t>一、总  则</w:t>
      </w:r>
      <w:bookmarkEnd w:id="40"/>
    </w:p>
    <w:p w14:paraId="7491306A">
      <w:pPr>
        <w:spacing w:line="440" w:lineRule="exact"/>
        <w:ind w:firstLine="422" w:firstLineChars="200"/>
        <w:jc w:val="left"/>
        <w:outlineLvl w:val="2"/>
        <w:rPr>
          <w:rFonts w:ascii="宋体" w:hAnsi="宋体" w:cs="宋体"/>
          <w:b/>
          <w:bCs/>
          <w:color w:val="auto"/>
          <w:szCs w:val="21"/>
          <w:highlight w:val="none"/>
        </w:rPr>
      </w:pPr>
      <w:bookmarkStart w:id="41" w:name="_Toc23505"/>
      <w:r>
        <w:rPr>
          <w:rFonts w:hint="eastAsia" w:ascii="宋体" w:hAnsi="宋体" w:cs="宋体"/>
          <w:b/>
          <w:bCs/>
          <w:color w:val="auto"/>
          <w:szCs w:val="21"/>
          <w:highlight w:val="none"/>
        </w:rPr>
        <w:t>1. 项目概况</w:t>
      </w:r>
      <w:bookmarkEnd w:id="41"/>
    </w:p>
    <w:p w14:paraId="00FB3BD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1.1 本项目名称：</w:t>
      </w:r>
      <w:r>
        <w:rPr>
          <w:rFonts w:hint="eastAsia" w:ascii="宋体" w:hAnsi="宋体" w:cs="宋体"/>
          <w:color w:val="auto"/>
          <w:szCs w:val="21"/>
          <w:highlight w:val="none"/>
          <w:lang w:eastAsia="zh-CN"/>
        </w:rPr>
        <w:t>滁州学院会峰校区学生公寓15、16号楼监控采购及安装</w:t>
      </w:r>
      <w:r>
        <w:rPr>
          <w:rFonts w:hint="eastAsia" w:ascii="宋体" w:hAnsi="宋体" w:cs="宋体"/>
          <w:color w:val="auto"/>
          <w:kern w:val="0"/>
          <w:szCs w:val="21"/>
          <w:highlight w:val="none"/>
        </w:rPr>
        <w:t xml:space="preserve">    </w:t>
      </w:r>
    </w:p>
    <w:p w14:paraId="41342962">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szCs w:val="21"/>
          <w:highlight w:val="none"/>
        </w:rPr>
        <w:t>1.2采购单位：</w:t>
      </w:r>
      <w:r>
        <w:rPr>
          <w:rFonts w:hint="eastAsia" w:ascii="宋体" w:hAnsi="宋体" w:cs="宋体"/>
          <w:color w:val="auto"/>
          <w:szCs w:val="21"/>
          <w:highlight w:val="none"/>
          <w:lang w:eastAsia="zh-CN"/>
        </w:rPr>
        <w:t xml:space="preserve"> 滁州学院资产与实验室管理处</w:t>
      </w:r>
      <w:r>
        <w:rPr>
          <w:rFonts w:hint="eastAsia" w:ascii="宋体" w:hAnsi="宋体" w:cs="宋体"/>
          <w:color w:val="auto"/>
          <w:szCs w:val="21"/>
          <w:highlight w:val="none"/>
        </w:rPr>
        <w:t xml:space="preserve"> </w:t>
      </w:r>
    </w:p>
    <w:p w14:paraId="092472DE">
      <w:pPr>
        <w:spacing w:line="440" w:lineRule="exact"/>
        <w:ind w:firstLine="422" w:firstLineChars="200"/>
        <w:jc w:val="left"/>
        <w:outlineLvl w:val="2"/>
        <w:rPr>
          <w:rFonts w:ascii="宋体" w:hAnsi="宋体" w:cs="宋体"/>
          <w:b/>
          <w:bCs/>
          <w:color w:val="auto"/>
          <w:szCs w:val="21"/>
          <w:highlight w:val="none"/>
        </w:rPr>
      </w:pPr>
      <w:bookmarkStart w:id="42" w:name="_Toc11148"/>
      <w:r>
        <w:rPr>
          <w:rFonts w:hint="eastAsia" w:ascii="宋体" w:hAnsi="宋体" w:cs="宋体"/>
          <w:b/>
          <w:bCs/>
          <w:color w:val="auto"/>
          <w:szCs w:val="21"/>
          <w:highlight w:val="none"/>
        </w:rPr>
        <w:t>2.项目投资</w:t>
      </w:r>
      <w:bookmarkEnd w:id="42"/>
    </w:p>
    <w:p w14:paraId="56575A8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2.1本项目投资约</w:t>
      </w:r>
      <w:r>
        <w:rPr>
          <w:rFonts w:hint="eastAsia" w:ascii="宋体" w:hAnsi="宋体" w:cs="宋体"/>
          <w:color w:val="auto"/>
          <w:szCs w:val="21"/>
          <w:highlight w:val="none"/>
          <w:lang w:val="en-US" w:eastAsia="zh-CN"/>
        </w:rPr>
        <w:t>43.44万元</w:t>
      </w:r>
      <w:r>
        <w:rPr>
          <w:rFonts w:hint="eastAsia" w:ascii="宋体" w:hAnsi="宋体" w:cs="宋体"/>
          <w:color w:val="auto"/>
          <w:szCs w:val="21"/>
          <w:highlight w:val="none"/>
        </w:rPr>
        <w:t>。</w:t>
      </w:r>
    </w:p>
    <w:p w14:paraId="7039E45B">
      <w:pPr>
        <w:spacing w:line="440" w:lineRule="exact"/>
        <w:ind w:firstLine="422" w:firstLineChars="200"/>
        <w:jc w:val="left"/>
        <w:outlineLvl w:val="2"/>
        <w:rPr>
          <w:rFonts w:ascii="宋体" w:hAnsi="宋体" w:cs="宋体"/>
          <w:b/>
          <w:bCs/>
          <w:color w:val="auto"/>
          <w:szCs w:val="21"/>
          <w:highlight w:val="none"/>
        </w:rPr>
      </w:pPr>
      <w:bookmarkStart w:id="43" w:name="_Toc18951"/>
      <w:r>
        <w:rPr>
          <w:rFonts w:hint="eastAsia" w:ascii="宋体" w:hAnsi="宋体" w:cs="宋体"/>
          <w:b/>
          <w:bCs/>
          <w:color w:val="auto"/>
          <w:szCs w:val="21"/>
          <w:highlight w:val="none"/>
        </w:rPr>
        <w:t>3.招标范围</w:t>
      </w:r>
      <w:bookmarkEnd w:id="43"/>
    </w:p>
    <w:p w14:paraId="77FA710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3.1详见采购文件采购需求。</w:t>
      </w:r>
    </w:p>
    <w:p w14:paraId="5DCF81BF">
      <w:pPr>
        <w:spacing w:line="440" w:lineRule="exact"/>
        <w:ind w:firstLine="422" w:firstLineChars="200"/>
        <w:jc w:val="left"/>
        <w:outlineLvl w:val="2"/>
        <w:rPr>
          <w:rFonts w:ascii="宋体" w:hAnsi="宋体" w:cs="宋体"/>
          <w:b/>
          <w:bCs/>
          <w:color w:val="auto"/>
          <w:szCs w:val="21"/>
          <w:highlight w:val="none"/>
        </w:rPr>
      </w:pPr>
      <w:bookmarkStart w:id="44" w:name="_Toc1347"/>
      <w:r>
        <w:rPr>
          <w:rFonts w:hint="eastAsia" w:ascii="宋体" w:hAnsi="宋体" w:cs="宋体"/>
          <w:b/>
          <w:bCs/>
          <w:color w:val="auto"/>
          <w:szCs w:val="21"/>
          <w:highlight w:val="none"/>
        </w:rPr>
        <w:t>4.服务期限</w:t>
      </w:r>
      <w:bookmarkEnd w:id="44"/>
    </w:p>
    <w:p w14:paraId="7CB152A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4.1</w:t>
      </w:r>
      <w:r>
        <w:rPr>
          <w:rFonts w:hint="eastAsia" w:ascii="宋体" w:hAnsi="宋体" w:cs="宋体"/>
          <w:color w:val="auto"/>
          <w:szCs w:val="21"/>
          <w:highlight w:val="none"/>
          <w:lang w:eastAsia="zh-CN"/>
        </w:rPr>
        <w:t>自合同签订生效后，以采购人开工通知时间为准，50个日历天内完成货物的供货、安装、调试及验收工作</w:t>
      </w:r>
      <w:r>
        <w:rPr>
          <w:rFonts w:hint="eastAsia" w:ascii="宋体" w:hAnsi="宋体" w:cs="宋体"/>
          <w:color w:val="auto"/>
          <w:szCs w:val="21"/>
          <w:highlight w:val="none"/>
        </w:rPr>
        <w:t>。</w:t>
      </w:r>
    </w:p>
    <w:p w14:paraId="39BBC6F3">
      <w:pPr>
        <w:spacing w:line="440" w:lineRule="exact"/>
        <w:ind w:firstLine="422" w:firstLineChars="200"/>
        <w:jc w:val="left"/>
        <w:outlineLvl w:val="2"/>
        <w:rPr>
          <w:rFonts w:ascii="宋体" w:hAnsi="宋体" w:cs="宋体"/>
          <w:b/>
          <w:bCs/>
          <w:color w:val="auto"/>
          <w:szCs w:val="21"/>
          <w:highlight w:val="none"/>
        </w:rPr>
      </w:pPr>
      <w:bookmarkStart w:id="45" w:name="_Toc4219"/>
      <w:r>
        <w:rPr>
          <w:rFonts w:hint="eastAsia" w:ascii="宋体" w:hAnsi="宋体" w:cs="宋体"/>
          <w:b/>
          <w:bCs/>
          <w:color w:val="auto"/>
          <w:szCs w:val="21"/>
          <w:highlight w:val="none"/>
        </w:rPr>
        <w:t>5.投标供应商资格要求</w:t>
      </w:r>
      <w:bookmarkEnd w:id="45"/>
    </w:p>
    <w:p w14:paraId="73CC37CF">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5.1供应商必须具有承担民事责任能力，并且具有有效的营业执照（或三证合一有效证件）；</w:t>
      </w:r>
    </w:p>
    <w:p w14:paraId="7C85F0BD">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5.2本项目不接受联合体投标；</w:t>
      </w:r>
    </w:p>
    <w:p w14:paraId="39717C45">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5.3信誉要求：投标供应商不得存在以下情形：</w:t>
      </w:r>
    </w:p>
    <w:p w14:paraId="51B93569">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①投标供应商被人民法院列入失信被执行人的；</w:t>
      </w:r>
    </w:p>
    <w:p w14:paraId="4942EEE3">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②投标供应商或其法定代表人被人民检察院列入行贿犯罪档案的；</w:t>
      </w:r>
    </w:p>
    <w:p w14:paraId="27D349F7">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③投标供应商被市场监督管理部门列入经营异常名录或者严重违法企业名单的；</w:t>
      </w:r>
    </w:p>
    <w:p w14:paraId="6FC957DA">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④投标供应商被税收部门列入重大税收违法案件当事人的；</w:t>
      </w:r>
    </w:p>
    <w:p w14:paraId="1A3C3F3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⑤投标供应商被采购监管部门列入采购严重违法失信行为记录名单的；</w:t>
      </w:r>
    </w:p>
    <w:p w14:paraId="14519538">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18D64B5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⑦被滁州市县两级行业主管部门及公管部门禁止在一定期限内参加采购活动且在禁止期限内的； </w:t>
      </w:r>
    </w:p>
    <w:p w14:paraId="7014A20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p w14:paraId="62985EC0">
      <w:pPr>
        <w:spacing w:line="440" w:lineRule="exact"/>
        <w:ind w:firstLine="422" w:firstLineChars="200"/>
        <w:jc w:val="left"/>
        <w:outlineLvl w:val="2"/>
        <w:rPr>
          <w:rFonts w:ascii="宋体" w:hAnsi="宋体" w:cs="宋体"/>
          <w:b/>
          <w:bCs/>
          <w:color w:val="auto"/>
          <w:szCs w:val="21"/>
          <w:highlight w:val="none"/>
        </w:rPr>
      </w:pPr>
      <w:bookmarkStart w:id="46" w:name="_Toc30010"/>
      <w:r>
        <w:rPr>
          <w:rFonts w:hint="eastAsia" w:ascii="宋体" w:hAnsi="宋体" w:cs="宋体"/>
          <w:b/>
          <w:bCs/>
          <w:color w:val="auto"/>
          <w:szCs w:val="21"/>
          <w:highlight w:val="none"/>
        </w:rPr>
        <w:t>6.资金来源</w:t>
      </w:r>
      <w:bookmarkEnd w:id="46"/>
    </w:p>
    <w:p w14:paraId="0A77C9CA">
      <w:pPr>
        <w:spacing w:line="440" w:lineRule="exact"/>
        <w:ind w:firstLine="420" w:firstLineChars="200"/>
        <w:jc w:val="left"/>
        <w:outlineLvl w:val="3"/>
        <w:rPr>
          <w:rFonts w:ascii="宋体" w:hAnsi="宋体" w:cs="宋体"/>
          <w:color w:val="auto"/>
          <w:szCs w:val="21"/>
          <w:highlight w:val="none"/>
          <w:u w:val="single"/>
        </w:rPr>
      </w:pPr>
      <w:r>
        <w:rPr>
          <w:rFonts w:hint="eastAsia" w:ascii="宋体" w:hAnsi="宋体" w:cs="宋体"/>
          <w:color w:val="auto"/>
          <w:szCs w:val="21"/>
          <w:highlight w:val="none"/>
        </w:rPr>
        <w:t>6.1资金来源：</w:t>
      </w:r>
      <w:r>
        <w:rPr>
          <w:rFonts w:hint="eastAsia" w:ascii="宋体" w:hAnsi="宋体" w:cs="宋体"/>
          <w:color w:val="auto"/>
          <w:szCs w:val="21"/>
          <w:highlight w:val="none"/>
          <w:u w:val="single"/>
        </w:rPr>
        <w:t xml:space="preserve"> 财政资金  </w:t>
      </w:r>
      <w:r>
        <w:rPr>
          <w:rFonts w:hint="eastAsia" w:ascii="宋体" w:hAnsi="宋体" w:cs="宋体"/>
          <w:color w:val="auto"/>
          <w:szCs w:val="21"/>
          <w:highlight w:val="none"/>
        </w:rPr>
        <w:t>；资金已落实。</w:t>
      </w:r>
    </w:p>
    <w:p w14:paraId="3084FC49">
      <w:pPr>
        <w:spacing w:line="440" w:lineRule="exact"/>
        <w:ind w:firstLine="422" w:firstLineChars="200"/>
        <w:jc w:val="left"/>
        <w:outlineLvl w:val="2"/>
        <w:rPr>
          <w:rFonts w:ascii="宋体" w:hAnsi="宋体" w:cs="宋体"/>
          <w:b/>
          <w:bCs/>
          <w:color w:val="auto"/>
          <w:szCs w:val="21"/>
          <w:highlight w:val="none"/>
        </w:rPr>
      </w:pPr>
      <w:bookmarkStart w:id="47" w:name="_Toc15417"/>
      <w:r>
        <w:rPr>
          <w:rFonts w:hint="eastAsia" w:ascii="宋体" w:hAnsi="宋体" w:cs="宋体"/>
          <w:b/>
          <w:bCs/>
          <w:color w:val="auto"/>
          <w:szCs w:val="21"/>
          <w:highlight w:val="none"/>
        </w:rPr>
        <w:t>7.标段划分</w:t>
      </w:r>
      <w:bookmarkEnd w:id="47"/>
    </w:p>
    <w:p w14:paraId="78CF554E">
      <w:pPr>
        <w:spacing w:line="440" w:lineRule="exact"/>
        <w:ind w:firstLine="420" w:firstLineChars="200"/>
        <w:outlineLvl w:val="3"/>
        <w:rPr>
          <w:rFonts w:ascii="宋体" w:hAnsi="宋体" w:cs="宋体"/>
          <w:color w:val="auto"/>
          <w:szCs w:val="21"/>
          <w:highlight w:val="none"/>
          <w:u w:val="single"/>
        </w:rPr>
      </w:pPr>
      <w:r>
        <w:rPr>
          <w:rFonts w:hint="eastAsia" w:ascii="宋体" w:hAnsi="宋体" w:cs="宋体"/>
          <w:color w:val="auto"/>
          <w:szCs w:val="21"/>
          <w:highlight w:val="none"/>
        </w:rPr>
        <w:t>7.1本项目标段划分：</w:t>
      </w:r>
      <w:r>
        <w:rPr>
          <w:rFonts w:hint="eastAsia" w:ascii="宋体" w:hAnsi="宋体" w:cs="宋体"/>
          <w:color w:val="auto"/>
          <w:szCs w:val="21"/>
          <w:highlight w:val="none"/>
          <w:u w:val="single"/>
        </w:rPr>
        <w:t xml:space="preserve">一个标段 </w:t>
      </w:r>
      <w:r>
        <w:rPr>
          <w:rFonts w:hint="eastAsia" w:ascii="宋体" w:hAnsi="宋体" w:cs="宋体"/>
          <w:color w:val="auto"/>
          <w:szCs w:val="21"/>
          <w:highlight w:val="none"/>
        </w:rPr>
        <w:t>。</w:t>
      </w:r>
    </w:p>
    <w:p w14:paraId="45089AE7">
      <w:pPr>
        <w:spacing w:line="440" w:lineRule="exact"/>
        <w:ind w:firstLine="422" w:firstLineChars="200"/>
        <w:jc w:val="left"/>
        <w:outlineLvl w:val="2"/>
        <w:rPr>
          <w:rFonts w:ascii="宋体" w:hAnsi="宋体" w:cs="宋体"/>
          <w:b/>
          <w:bCs/>
          <w:color w:val="auto"/>
          <w:szCs w:val="21"/>
          <w:highlight w:val="none"/>
        </w:rPr>
      </w:pPr>
      <w:bookmarkStart w:id="48" w:name="_Toc11838"/>
      <w:r>
        <w:rPr>
          <w:rFonts w:hint="eastAsia" w:ascii="宋体" w:hAnsi="宋体" w:cs="宋体"/>
          <w:b/>
          <w:bCs/>
          <w:color w:val="auto"/>
          <w:szCs w:val="21"/>
          <w:highlight w:val="none"/>
        </w:rPr>
        <w:t>8.招标方式</w:t>
      </w:r>
      <w:bookmarkEnd w:id="48"/>
    </w:p>
    <w:p w14:paraId="762B7CA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8.1本项目招标方式：</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w:t>
      </w:r>
    </w:p>
    <w:p w14:paraId="7D59688E">
      <w:pPr>
        <w:spacing w:line="440" w:lineRule="exact"/>
        <w:ind w:firstLine="422" w:firstLineChars="200"/>
        <w:jc w:val="left"/>
        <w:outlineLvl w:val="2"/>
        <w:rPr>
          <w:rFonts w:ascii="宋体" w:hAnsi="宋体" w:cs="宋体"/>
          <w:b/>
          <w:bCs/>
          <w:color w:val="auto"/>
          <w:szCs w:val="21"/>
          <w:highlight w:val="none"/>
        </w:rPr>
      </w:pPr>
      <w:bookmarkStart w:id="49" w:name="_Toc20247"/>
      <w:r>
        <w:rPr>
          <w:rFonts w:hint="eastAsia" w:ascii="宋体" w:hAnsi="宋体" w:cs="宋体"/>
          <w:b/>
          <w:bCs/>
          <w:color w:val="auto"/>
          <w:szCs w:val="21"/>
          <w:highlight w:val="none"/>
        </w:rPr>
        <w:t>9.计价方式</w:t>
      </w:r>
      <w:bookmarkEnd w:id="49"/>
    </w:p>
    <w:p w14:paraId="6A0D0CC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9.1本项目合同方式：</w:t>
      </w:r>
      <w:r>
        <w:rPr>
          <w:rFonts w:hint="eastAsia" w:ascii="宋体" w:hAnsi="宋体" w:cs="宋体"/>
          <w:color w:val="auto"/>
          <w:szCs w:val="21"/>
          <w:highlight w:val="none"/>
          <w:u w:val="single"/>
        </w:rPr>
        <w:t xml:space="preserve">  固定</w:t>
      </w:r>
      <w:r>
        <w:rPr>
          <w:rFonts w:hint="eastAsia" w:ascii="宋体" w:hAnsi="宋体" w:cs="宋体"/>
          <w:color w:val="auto"/>
          <w:szCs w:val="21"/>
          <w:highlight w:val="none"/>
          <w:u w:val="single"/>
          <w:lang w:val="en-US" w:eastAsia="zh-CN"/>
        </w:rPr>
        <w:t>总</w:t>
      </w:r>
      <w:r>
        <w:rPr>
          <w:rFonts w:hint="eastAsia" w:ascii="宋体" w:hAnsi="宋体" w:cs="宋体"/>
          <w:color w:val="auto"/>
          <w:szCs w:val="21"/>
          <w:highlight w:val="none"/>
          <w:u w:val="single"/>
        </w:rPr>
        <w:t xml:space="preserve">价  </w:t>
      </w:r>
      <w:r>
        <w:rPr>
          <w:rFonts w:hint="eastAsia" w:ascii="宋体" w:hAnsi="宋体" w:cs="宋体"/>
          <w:color w:val="auto"/>
          <w:szCs w:val="21"/>
          <w:highlight w:val="none"/>
        </w:rPr>
        <w:t>。</w:t>
      </w:r>
    </w:p>
    <w:p w14:paraId="11B08F4E">
      <w:pPr>
        <w:spacing w:line="440" w:lineRule="exact"/>
        <w:ind w:firstLine="422" w:firstLineChars="200"/>
        <w:jc w:val="left"/>
        <w:outlineLvl w:val="2"/>
        <w:rPr>
          <w:rFonts w:ascii="宋体" w:hAnsi="宋体" w:cs="宋体"/>
          <w:b/>
          <w:bCs/>
          <w:color w:val="auto"/>
          <w:szCs w:val="21"/>
          <w:highlight w:val="none"/>
        </w:rPr>
      </w:pPr>
      <w:bookmarkStart w:id="50" w:name="_Toc25598"/>
      <w:r>
        <w:rPr>
          <w:rFonts w:hint="eastAsia" w:ascii="宋体" w:hAnsi="宋体" w:cs="宋体"/>
          <w:b/>
          <w:bCs/>
          <w:color w:val="auto"/>
          <w:szCs w:val="21"/>
          <w:highlight w:val="none"/>
        </w:rPr>
        <w:t>10.评标办法</w:t>
      </w:r>
      <w:bookmarkEnd w:id="50"/>
    </w:p>
    <w:p w14:paraId="3D7668B8">
      <w:pPr>
        <w:spacing w:line="440" w:lineRule="exact"/>
        <w:ind w:firstLine="420" w:firstLineChars="200"/>
        <w:jc w:val="left"/>
        <w:outlineLvl w:val="3"/>
        <w:rPr>
          <w:rFonts w:ascii="宋体" w:hAnsi="宋体" w:cs="宋体"/>
          <w:b/>
          <w:bCs/>
          <w:color w:val="auto"/>
          <w:szCs w:val="21"/>
          <w:highlight w:val="none"/>
        </w:rPr>
      </w:pPr>
      <w:r>
        <w:rPr>
          <w:rFonts w:hint="eastAsia" w:ascii="宋体" w:hAnsi="宋体" w:cs="宋体"/>
          <w:color w:val="auto"/>
          <w:szCs w:val="21"/>
          <w:highlight w:val="none"/>
        </w:rPr>
        <w:t>10.1本项目评标办法：</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 xml:space="preserve"> </w:t>
      </w:r>
    </w:p>
    <w:p w14:paraId="029C3C54">
      <w:pPr>
        <w:spacing w:before="156" w:beforeLines="50" w:after="156" w:afterLines="50" w:line="440" w:lineRule="exact"/>
        <w:jc w:val="center"/>
        <w:outlineLvl w:val="1"/>
        <w:rPr>
          <w:rFonts w:ascii="宋体" w:hAnsi="宋体" w:cs="宋体"/>
          <w:color w:val="auto"/>
          <w:szCs w:val="21"/>
          <w:highlight w:val="none"/>
        </w:rPr>
      </w:pPr>
      <w:bookmarkStart w:id="51" w:name="_Toc27229"/>
      <w:r>
        <w:rPr>
          <w:rFonts w:hint="eastAsia" w:ascii="宋体" w:hAnsi="宋体" w:cs="宋体"/>
          <w:b/>
          <w:bCs/>
          <w:color w:val="auto"/>
          <w:sz w:val="28"/>
          <w:szCs w:val="28"/>
          <w:highlight w:val="none"/>
        </w:rPr>
        <w:t>二、采购文件</w:t>
      </w:r>
      <w:bookmarkEnd w:id="51"/>
    </w:p>
    <w:p w14:paraId="3EC3220E">
      <w:pPr>
        <w:spacing w:line="440" w:lineRule="exact"/>
        <w:ind w:firstLine="422" w:firstLineChars="200"/>
        <w:jc w:val="left"/>
        <w:outlineLvl w:val="2"/>
        <w:rPr>
          <w:rFonts w:ascii="宋体" w:hAnsi="宋体" w:cs="宋体"/>
          <w:b/>
          <w:bCs/>
          <w:color w:val="auto"/>
          <w:szCs w:val="21"/>
          <w:highlight w:val="none"/>
        </w:rPr>
      </w:pPr>
      <w:bookmarkStart w:id="52" w:name="_Toc17846"/>
      <w:r>
        <w:rPr>
          <w:rFonts w:hint="eastAsia" w:ascii="宋体" w:hAnsi="宋体" w:cs="宋体"/>
          <w:b/>
          <w:bCs/>
          <w:color w:val="auto"/>
          <w:szCs w:val="21"/>
          <w:highlight w:val="none"/>
        </w:rPr>
        <w:t>11.采购文件的编制依据</w:t>
      </w:r>
      <w:bookmarkEnd w:id="52"/>
    </w:p>
    <w:p w14:paraId="5EFE4E2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11.1参照相关法律法规和规章及部、省、市级规范性文件的规定，编制本项目采购文件。</w:t>
      </w:r>
    </w:p>
    <w:p w14:paraId="5D0806B4">
      <w:pPr>
        <w:spacing w:line="440" w:lineRule="exact"/>
        <w:ind w:firstLine="422" w:firstLineChars="200"/>
        <w:jc w:val="left"/>
        <w:outlineLvl w:val="2"/>
        <w:rPr>
          <w:rFonts w:ascii="宋体" w:hAnsi="宋体" w:cs="宋体"/>
          <w:b/>
          <w:bCs/>
          <w:color w:val="auto"/>
          <w:szCs w:val="21"/>
          <w:highlight w:val="none"/>
        </w:rPr>
      </w:pPr>
      <w:bookmarkStart w:id="53" w:name="_Toc28477"/>
      <w:r>
        <w:rPr>
          <w:rFonts w:hint="eastAsia" w:ascii="宋体" w:hAnsi="宋体" w:cs="宋体"/>
          <w:b/>
          <w:bCs/>
          <w:color w:val="auto"/>
          <w:szCs w:val="21"/>
          <w:highlight w:val="none"/>
        </w:rPr>
        <w:t>12.采购文件的组成</w:t>
      </w:r>
      <w:bookmarkEnd w:id="53"/>
    </w:p>
    <w:p w14:paraId="17F6028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12.1采购文件包括内容：</w:t>
      </w:r>
    </w:p>
    <w:p w14:paraId="53CAE3E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投标公告</w:t>
      </w:r>
    </w:p>
    <w:p w14:paraId="29961B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第二章  投标须知</w:t>
      </w:r>
    </w:p>
    <w:p w14:paraId="7EA3AD3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第三章  评标办法</w:t>
      </w:r>
    </w:p>
    <w:p w14:paraId="68385A2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第四章  采购内容及技术要求</w:t>
      </w:r>
    </w:p>
    <w:p w14:paraId="54E6DE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第五章  合同条款及格式</w:t>
      </w:r>
    </w:p>
    <w:p w14:paraId="37E0D9A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投标文件格式文本</w:t>
      </w:r>
    </w:p>
    <w:p w14:paraId="4809F7F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第七章  采购单位、招标代理机构对本文件的确认</w:t>
      </w:r>
    </w:p>
    <w:p w14:paraId="4179951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  除12.1内容外，招标答疑亦为采购文件的组成部分，对采购人和投标供应商起约束作用。</w:t>
      </w:r>
    </w:p>
    <w:p w14:paraId="70598A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  投标供应商同时应认真审阅采购文件中所有的事项、格式、条款和规范要求等，若投标供应商的投标文件没有按采购文件要求提交全部资料，或投标文件没有对采购文件作出实质性响应，其风险由投标供应商自行承担，并根据有关条款规定，该投标有可能被拒绝。</w:t>
      </w:r>
    </w:p>
    <w:p w14:paraId="3625B624">
      <w:pPr>
        <w:spacing w:line="440" w:lineRule="exact"/>
        <w:ind w:firstLine="422" w:firstLineChars="200"/>
        <w:jc w:val="left"/>
        <w:outlineLvl w:val="2"/>
        <w:rPr>
          <w:rFonts w:ascii="宋体" w:hAnsi="宋体" w:cs="宋体"/>
          <w:b/>
          <w:bCs/>
          <w:color w:val="auto"/>
          <w:szCs w:val="21"/>
          <w:highlight w:val="none"/>
        </w:rPr>
      </w:pPr>
      <w:bookmarkStart w:id="54" w:name="_Toc27429"/>
      <w:r>
        <w:rPr>
          <w:rFonts w:hint="eastAsia" w:ascii="宋体" w:hAnsi="宋体" w:cs="宋体"/>
          <w:b/>
          <w:bCs/>
          <w:color w:val="auto"/>
          <w:szCs w:val="21"/>
          <w:highlight w:val="none"/>
        </w:rPr>
        <w:t>13.   采购文件的澄清、修改、补充、解释</w:t>
      </w:r>
      <w:bookmarkEnd w:id="54"/>
    </w:p>
    <w:p w14:paraId="5FC958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13.1  </w:t>
      </w:r>
      <w:r>
        <w:rPr>
          <w:rFonts w:hint="eastAsia" w:ascii="宋体" w:hAnsi="宋体" w:cs="宋体"/>
          <w:color w:val="auto"/>
          <w:kern w:val="0"/>
          <w:szCs w:val="21"/>
          <w:highlight w:val="none"/>
          <w:lang w:val="zh-CN"/>
        </w:rPr>
        <w:t>采购文件发出后，采购人可对采购文件进行必要的澄清、修改和补充，具有约束作用</w:t>
      </w:r>
      <w:r>
        <w:rPr>
          <w:rFonts w:hint="eastAsia" w:ascii="宋体" w:hAnsi="宋体" w:cs="宋体"/>
          <w:color w:val="auto"/>
          <w:szCs w:val="21"/>
          <w:highlight w:val="none"/>
        </w:rPr>
        <w:t>。</w:t>
      </w:r>
    </w:p>
    <w:p w14:paraId="4A51FCC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  本采购文件由采购人（或其委托的代理机构）负责解释。</w:t>
      </w:r>
    </w:p>
    <w:p w14:paraId="465C2EF2">
      <w:pPr>
        <w:spacing w:line="440" w:lineRule="exact"/>
        <w:ind w:firstLine="422" w:firstLineChars="200"/>
        <w:jc w:val="left"/>
        <w:outlineLvl w:val="2"/>
        <w:rPr>
          <w:rFonts w:ascii="宋体" w:hAnsi="宋体" w:cs="宋体"/>
          <w:b/>
          <w:bCs/>
          <w:color w:val="auto"/>
          <w:szCs w:val="21"/>
          <w:highlight w:val="none"/>
        </w:rPr>
      </w:pPr>
      <w:bookmarkStart w:id="55" w:name="_Toc19558"/>
      <w:r>
        <w:rPr>
          <w:rFonts w:hint="eastAsia" w:ascii="宋体" w:hAnsi="宋体" w:cs="宋体"/>
          <w:b/>
          <w:bCs/>
          <w:color w:val="auto"/>
          <w:szCs w:val="21"/>
          <w:highlight w:val="none"/>
        </w:rPr>
        <w:t>14.   踏勘现场</w:t>
      </w:r>
      <w:bookmarkEnd w:id="55"/>
    </w:p>
    <w:p w14:paraId="5981D80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投标供应商自行进行踏勘，以便投标供应商获取有关编制投标文件和签署合同所涉及现场的资料。投标供应商承担踏勘现场所发生的自身费用。</w:t>
      </w:r>
    </w:p>
    <w:p w14:paraId="65493D69">
      <w:pPr>
        <w:spacing w:before="156" w:beforeLines="50" w:after="156" w:afterLines="50" w:line="440" w:lineRule="exact"/>
        <w:jc w:val="center"/>
        <w:outlineLvl w:val="1"/>
        <w:rPr>
          <w:rFonts w:ascii="宋体" w:hAnsi="宋体" w:cs="宋体"/>
          <w:b/>
          <w:bCs/>
          <w:color w:val="auto"/>
          <w:sz w:val="28"/>
          <w:szCs w:val="28"/>
          <w:highlight w:val="none"/>
        </w:rPr>
      </w:pPr>
      <w:bookmarkStart w:id="56" w:name="_Toc11879"/>
      <w:r>
        <w:rPr>
          <w:rFonts w:hint="eastAsia" w:ascii="宋体" w:hAnsi="宋体" w:cs="宋体"/>
          <w:b/>
          <w:bCs/>
          <w:color w:val="auto"/>
          <w:sz w:val="28"/>
          <w:szCs w:val="28"/>
          <w:highlight w:val="none"/>
        </w:rPr>
        <w:t>三、投标文件的编制</w:t>
      </w:r>
      <w:bookmarkEnd w:id="56"/>
    </w:p>
    <w:p w14:paraId="45C5E02D">
      <w:pPr>
        <w:spacing w:line="440" w:lineRule="exact"/>
        <w:ind w:firstLine="422" w:firstLineChars="200"/>
        <w:outlineLvl w:val="2"/>
        <w:rPr>
          <w:rFonts w:ascii="宋体" w:hAnsi="宋体" w:cs="宋体"/>
          <w:b/>
          <w:bCs/>
          <w:color w:val="auto"/>
          <w:szCs w:val="21"/>
          <w:highlight w:val="none"/>
        </w:rPr>
      </w:pPr>
      <w:bookmarkStart w:id="57" w:name="_Toc10504"/>
      <w:r>
        <w:rPr>
          <w:rFonts w:hint="eastAsia" w:ascii="宋体" w:hAnsi="宋体" w:cs="宋体"/>
          <w:b/>
          <w:bCs/>
          <w:color w:val="auto"/>
          <w:szCs w:val="21"/>
          <w:highlight w:val="none"/>
        </w:rPr>
        <w:t>15.   投标文件的组成</w:t>
      </w:r>
      <w:bookmarkEnd w:id="57"/>
    </w:p>
    <w:p w14:paraId="533601E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15.1  投标文件包括资格证明文件、技术标、商务标三部分：</w:t>
      </w:r>
    </w:p>
    <w:p w14:paraId="59F4CA4C">
      <w:pPr>
        <w:spacing w:line="440" w:lineRule="exact"/>
        <w:ind w:firstLine="422" w:firstLineChars="200"/>
        <w:outlineLvl w:val="4"/>
        <w:rPr>
          <w:rFonts w:ascii="宋体" w:hAnsi="宋体" w:cs="宋体"/>
          <w:b/>
          <w:bCs/>
          <w:color w:val="auto"/>
          <w:szCs w:val="21"/>
          <w:highlight w:val="none"/>
        </w:rPr>
      </w:pPr>
      <w:r>
        <w:rPr>
          <w:rFonts w:hint="eastAsia" w:ascii="宋体" w:hAnsi="宋体" w:cs="宋体"/>
          <w:b/>
          <w:bCs/>
          <w:color w:val="auto"/>
          <w:szCs w:val="21"/>
          <w:highlight w:val="none"/>
        </w:rPr>
        <w:t>15.1.1资格证明文件：</w:t>
      </w:r>
    </w:p>
    <w:p w14:paraId="1F01A0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1C714EE6">
      <w:pPr>
        <w:spacing w:line="440" w:lineRule="exact"/>
        <w:ind w:firstLine="420" w:firstLineChars="200"/>
        <w:outlineLvl w:val="0"/>
        <w:rPr>
          <w:rFonts w:ascii="宋体" w:hAnsi="宋体" w:cs="宋体"/>
          <w:color w:val="auto"/>
          <w:szCs w:val="21"/>
          <w:highlight w:val="none"/>
        </w:rPr>
      </w:pPr>
      <w:bookmarkStart w:id="58" w:name="_Toc360"/>
      <w:r>
        <w:rPr>
          <w:rFonts w:hint="eastAsia" w:ascii="宋体" w:hAnsi="宋体" w:cs="宋体"/>
          <w:color w:val="auto"/>
          <w:szCs w:val="21"/>
          <w:highlight w:val="none"/>
        </w:rPr>
        <w:t>（2）投标供应商</w:t>
      </w:r>
      <w:r>
        <w:rPr>
          <w:rFonts w:hint="eastAsia" w:ascii="宋体" w:hAnsi="宋体" w:cs="宋体"/>
          <w:color w:val="auto"/>
          <w:szCs w:val="21"/>
          <w:highlight w:val="none"/>
          <w:lang w:val="en-US" w:eastAsia="zh-CN"/>
        </w:rPr>
        <w:t>具有独立承担民事责任的能力</w:t>
      </w:r>
      <w:r>
        <w:rPr>
          <w:rFonts w:hint="eastAsia" w:ascii="宋体" w:hAnsi="宋体" w:cs="宋体"/>
          <w:color w:val="auto"/>
          <w:szCs w:val="21"/>
          <w:highlight w:val="none"/>
        </w:rPr>
        <w:t>；</w:t>
      </w:r>
      <w:bookmarkEnd w:id="58"/>
    </w:p>
    <w:p w14:paraId="2D23F348">
      <w:pPr>
        <w:spacing w:line="440" w:lineRule="exact"/>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（3）</w:t>
      </w:r>
      <w:bookmarkStart w:id="59" w:name="_Toc24819"/>
      <w:r>
        <w:rPr>
          <w:rFonts w:hint="eastAsia" w:ascii="宋体" w:hAnsi="宋体" w:cs="宋体"/>
          <w:color w:val="auto"/>
          <w:szCs w:val="21"/>
          <w:highlight w:val="none"/>
        </w:rPr>
        <w:t>诚信投标承诺书（格式见附件）；</w:t>
      </w:r>
      <w:bookmarkEnd w:id="59"/>
    </w:p>
    <w:p w14:paraId="5738D903">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）资信标中要求提供的相关资料和资格评分细则中需要提供的相关资料；</w:t>
      </w:r>
    </w:p>
    <w:p w14:paraId="3AEA2959">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44410C54">
      <w:pPr>
        <w:spacing w:line="440" w:lineRule="exact"/>
        <w:ind w:firstLine="422" w:firstLineChars="200"/>
        <w:jc w:val="left"/>
        <w:outlineLvl w:val="1"/>
        <w:rPr>
          <w:rFonts w:ascii="宋体" w:hAnsi="宋体" w:cs="宋体"/>
          <w:b/>
          <w:bCs/>
          <w:color w:val="auto"/>
          <w:kern w:val="0"/>
          <w:szCs w:val="21"/>
          <w:highlight w:val="none"/>
          <w:u w:color="000000"/>
        </w:rPr>
      </w:pPr>
      <w:bookmarkStart w:id="60" w:name="_Toc1024"/>
      <w:r>
        <w:rPr>
          <w:rFonts w:hint="eastAsia" w:ascii="宋体" w:hAnsi="宋体" w:cs="宋体"/>
          <w:b/>
          <w:bCs/>
          <w:color w:val="auto"/>
          <w:kern w:val="0"/>
          <w:szCs w:val="21"/>
          <w:highlight w:val="none"/>
          <w:u w:color="000000"/>
        </w:rPr>
        <w:t>15.1.2技术标：</w:t>
      </w:r>
      <w:bookmarkEnd w:id="60"/>
    </w:p>
    <w:p w14:paraId="0E82D9EC">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4CEED952">
      <w:pPr>
        <w:spacing w:line="440" w:lineRule="exact"/>
        <w:ind w:firstLine="420" w:firstLineChars="200"/>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（2）供货安装方案</w:t>
      </w:r>
      <w:r>
        <w:rPr>
          <w:rFonts w:hint="eastAsia" w:ascii="宋体" w:hAnsi="宋体" w:cs="宋体"/>
          <w:bCs/>
          <w:color w:val="auto"/>
          <w:szCs w:val="21"/>
          <w:highlight w:val="none"/>
          <w:lang w:eastAsia="zh-CN"/>
        </w:rPr>
        <w:t>；</w:t>
      </w:r>
    </w:p>
    <w:p w14:paraId="02140D8A">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（3）售后服务及维保方案；</w:t>
      </w:r>
    </w:p>
    <w:p w14:paraId="5658061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（4）培训方案</w:t>
      </w:r>
      <w:r>
        <w:rPr>
          <w:rFonts w:hint="eastAsia" w:ascii="宋体" w:hAnsi="宋体" w:eastAsia="宋体" w:cs="宋体"/>
          <w:bCs/>
          <w:color w:val="auto"/>
          <w:szCs w:val="21"/>
          <w:highlight w:val="none"/>
        </w:rPr>
        <w:t>；</w:t>
      </w:r>
    </w:p>
    <w:p w14:paraId="1508416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（5）技术标中要求提供的相关资料和技术标评分细则中需要提供的相关资料；</w:t>
      </w:r>
    </w:p>
    <w:p w14:paraId="78C14562">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298FB950">
      <w:pPr>
        <w:spacing w:line="440" w:lineRule="exact"/>
        <w:ind w:firstLine="422" w:firstLineChars="200"/>
        <w:jc w:val="left"/>
        <w:outlineLvl w:val="1"/>
        <w:rPr>
          <w:rFonts w:ascii="宋体" w:hAnsi="宋体" w:cs="宋体"/>
          <w:b/>
          <w:bCs/>
          <w:color w:val="auto"/>
          <w:highlight w:val="none"/>
        </w:rPr>
      </w:pPr>
      <w:bookmarkStart w:id="61" w:name="_Toc8894"/>
      <w:r>
        <w:rPr>
          <w:rFonts w:hint="eastAsia" w:ascii="宋体" w:hAnsi="宋体" w:cs="宋体"/>
          <w:b/>
          <w:bCs/>
          <w:color w:val="auto"/>
          <w:kern w:val="0"/>
          <w:szCs w:val="21"/>
          <w:highlight w:val="none"/>
          <w:u w:color="000000"/>
        </w:rPr>
        <w:t>15.1.3商务标：</w:t>
      </w:r>
      <w:bookmarkEnd w:id="61"/>
    </w:p>
    <w:p w14:paraId="09C4FD8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653E876B">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2ADE053D">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227BC82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01BB7072">
      <w:pPr>
        <w:spacing w:line="440" w:lineRule="exact"/>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商务</w:t>
      </w:r>
      <w:r>
        <w:rPr>
          <w:rFonts w:hint="eastAsia" w:ascii="宋体" w:hAnsi="宋体" w:cs="宋体"/>
          <w:b/>
          <w:bCs/>
          <w:color w:val="auto"/>
          <w:szCs w:val="21"/>
          <w:highlight w:val="none"/>
        </w:rPr>
        <w:t>标文件的完整与否，直接影响供应商的评审</w:t>
      </w:r>
      <w:r>
        <w:rPr>
          <w:rFonts w:hint="eastAsia" w:ascii="宋体" w:hAnsi="宋体" w:cs="宋体"/>
          <w:b/>
          <w:bCs/>
          <w:color w:val="auto"/>
          <w:kern w:val="0"/>
          <w:szCs w:val="21"/>
          <w:highlight w:val="none"/>
          <w:u w:color="000000"/>
        </w:rPr>
        <w:t>。</w:t>
      </w:r>
    </w:p>
    <w:p w14:paraId="0ED56FD4">
      <w:pPr>
        <w:spacing w:line="440" w:lineRule="exact"/>
        <w:ind w:firstLine="420" w:firstLineChars="200"/>
        <w:outlineLvl w:val="1"/>
        <w:rPr>
          <w:rFonts w:ascii="宋体" w:hAnsi="宋体" w:cs="宋体"/>
          <w:color w:val="auto"/>
          <w:szCs w:val="21"/>
          <w:highlight w:val="none"/>
        </w:rPr>
      </w:pPr>
      <w:bookmarkStart w:id="62" w:name="_Toc2053"/>
      <w:r>
        <w:rPr>
          <w:rFonts w:hint="eastAsia" w:ascii="宋体" w:hAnsi="宋体" w:cs="宋体"/>
          <w:color w:val="auto"/>
          <w:szCs w:val="21"/>
          <w:highlight w:val="none"/>
        </w:rPr>
        <w:t>16．</w:t>
      </w:r>
      <w:r>
        <w:rPr>
          <w:rFonts w:hint="eastAsia" w:ascii="宋体" w:hAnsi="宋体" w:cs="宋体"/>
          <w:b/>
          <w:color w:val="auto"/>
          <w:szCs w:val="21"/>
          <w:highlight w:val="none"/>
        </w:rPr>
        <w:t>投标报价</w:t>
      </w:r>
      <w:bookmarkEnd w:id="62"/>
    </w:p>
    <w:p w14:paraId="2D2FC427">
      <w:pPr>
        <w:spacing w:line="440" w:lineRule="exact"/>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rPr>
        <w:t>16.1本次采购标书中只允许有一个方案，一个报价，多方案、多报价的将不被接受。</w:t>
      </w:r>
      <w:r>
        <w:rPr>
          <w:rFonts w:hint="eastAsia" w:ascii="宋体" w:hAnsi="宋体" w:cs="宋体"/>
          <w:b/>
          <w:bCs/>
          <w:color w:val="auto"/>
          <w:szCs w:val="21"/>
          <w:highlight w:val="none"/>
        </w:rPr>
        <w:t xml:space="preserve"> </w:t>
      </w:r>
    </w:p>
    <w:p w14:paraId="1C84D620">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16.2报价时报价人应就本采购文件所提供的技术支持与服务做出书面承诺；</w:t>
      </w:r>
    </w:p>
    <w:p w14:paraId="2F1747D1">
      <w:pPr>
        <w:widowControl/>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16.3</w:t>
      </w:r>
      <w:r>
        <w:rPr>
          <w:rFonts w:hint="eastAsia" w:ascii="宋体" w:hAnsi="宋体" w:cs="宋体"/>
          <w:b/>
          <w:bCs/>
          <w:color w:val="auto"/>
          <w:szCs w:val="21"/>
          <w:highlight w:val="none"/>
        </w:rPr>
        <w:t>本项目最高限价为</w:t>
      </w:r>
      <w:r>
        <w:rPr>
          <w:rFonts w:hint="eastAsia" w:ascii="宋体" w:hAnsi="宋体" w:cs="宋体"/>
          <w:b/>
          <w:bCs/>
          <w:color w:val="auto"/>
          <w:szCs w:val="21"/>
          <w:highlight w:val="none"/>
          <w:lang w:val="en-US" w:eastAsia="zh-CN"/>
        </w:rPr>
        <w:t>肆拾叁万肆仟肆佰元整</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434400</w:t>
      </w:r>
      <w:r>
        <w:rPr>
          <w:rFonts w:hint="eastAsia" w:ascii="宋体" w:hAnsi="宋体" w:cs="宋体"/>
          <w:b/>
          <w:bCs/>
          <w:color w:val="auto"/>
          <w:szCs w:val="21"/>
          <w:highlight w:val="none"/>
        </w:rPr>
        <w:t>元），供应商的响应报价不得高于采购人发布的最高限价，否则按无效标处理。</w:t>
      </w:r>
    </w:p>
    <w:p w14:paraId="2B2AEDA0">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16.4投标报价书格式中所有要求签字、盖章的地方，必须由规定的单位和人员签字、盖章。</w:t>
      </w:r>
    </w:p>
    <w:p w14:paraId="28EADEA8">
      <w:pPr>
        <w:spacing w:before="156" w:beforeLines="50" w:after="156" w:afterLines="50" w:line="440" w:lineRule="exact"/>
        <w:jc w:val="center"/>
        <w:outlineLvl w:val="1"/>
        <w:rPr>
          <w:rFonts w:ascii="宋体" w:hAnsi="宋体" w:cs="宋体"/>
          <w:b/>
          <w:bCs/>
          <w:color w:val="auto"/>
          <w:sz w:val="28"/>
          <w:szCs w:val="28"/>
          <w:highlight w:val="none"/>
        </w:rPr>
      </w:pPr>
      <w:bookmarkStart w:id="63" w:name="_Toc18457"/>
      <w:r>
        <w:rPr>
          <w:rFonts w:hint="eastAsia" w:ascii="宋体" w:hAnsi="宋体" w:cs="宋体"/>
          <w:b/>
          <w:bCs/>
          <w:color w:val="auto"/>
          <w:sz w:val="28"/>
          <w:szCs w:val="28"/>
          <w:highlight w:val="none"/>
        </w:rPr>
        <w:t>四、投标文件的密封和递交</w:t>
      </w:r>
      <w:bookmarkEnd w:id="63"/>
    </w:p>
    <w:p w14:paraId="2C8E151C">
      <w:pPr>
        <w:pageBreakBefore w:val="0"/>
        <w:kinsoku/>
        <w:wordWrap w:val="0"/>
        <w:topLinePunct w:val="0"/>
        <w:bidi w:val="0"/>
        <w:spacing w:line="500" w:lineRule="exact"/>
        <w:ind w:left="-420" w:leftChars="-200" w:right="0" w:rightChars="0" w:firstLine="422" w:firstLineChars="200"/>
        <w:rPr>
          <w:rFonts w:hint="eastAsia" w:ascii="宋体" w:hAnsi="宋体" w:cs="宋体"/>
          <w:b/>
          <w:color w:val="auto"/>
          <w:szCs w:val="21"/>
          <w:highlight w:val="none"/>
        </w:rPr>
      </w:pPr>
      <w:bookmarkStart w:id="64" w:name="_Toc23252"/>
      <w:r>
        <w:rPr>
          <w:rFonts w:hint="eastAsia" w:ascii="宋体" w:hAnsi="宋体" w:cs="宋体"/>
          <w:b/>
          <w:bCs/>
          <w:color w:val="auto"/>
          <w:szCs w:val="21"/>
          <w:highlight w:val="none"/>
        </w:rPr>
        <w:t xml:space="preserve">17. </w:t>
      </w:r>
      <w:bookmarkEnd w:id="64"/>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文件的封装和标记</w:t>
      </w:r>
    </w:p>
    <w:p w14:paraId="5DD675DF">
      <w:pPr>
        <w:pageBreakBefore w:val="0"/>
        <w:kinsoku/>
        <w:wordWrap w:val="0"/>
        <w:topLinePunct w:val="0"/>
        <w:bidi w:val="0"/>
        <w:spacing w:line="500" w:lineRule="exact"/>
        <w:ind w:left="-420" w:leftChars="-200" w:right="0" w:rightChars="0"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投标</w:t>
      </w:r>
      <w:r>
        <w:rPr>
          <w:rFonts w:hint="eastAsia" w:ascii="宋体" w:hAnsi="宋体" w:cs="宋体"/>
          <w:color w:val="auto"/>
          <w:szCs w:val="21"/>
        </w:rPr>
        <w:t>文件应按照本章第</w:t>
      </w:r>
      <w:r>
        <w:rPr>
          <w:rFonts w:hint="eastAsia" w:ascii="宋体" w:hAnsi="宋体" w:cs="宋体"/>
          <w:color w:val="auto"/>
          <w:szCs w:val="21"/>
          <w:lang w:val="en-US" w:eastAsia="zh-CN"/>
        </w:rPr>
        <w:t>14.3</w:t>
      </w:r>
      <w:r>
        <w:rPr>
          <w:rFonts w:hint="eastAsia" w:ascii="宋体" w:hAnsi="宋体" w:cs="宋体"/>
          <w:color w:val="auto"/>
          <w:szCs w:val="21"/>
        </w:rPr>
        <w:t>项要求制作并加密，未按要求加密的</w:t>
      </w:r>
      <w:r>
        <w:rPr>
          <w:rFonts w:hint="eastAsia" w:ascii="宋体" w:hAnsi="宋体" w:cs="宋体"/>
          <w:color w:val="auto"/>
          <w:szCs w:val="21"/>
          <w:lang w:val="en-US" w:eastAsia="zh-CN"/>
        </w:rPr>
        <w:t>投标文件</w:t>
      </w:r>
      <w:r>
        <w:rPr>
          <w:rFonts w:hint="eastAsia" w:ascii="宋体" w:hAnsi="宋体" w:cs="宋体"/>
          <w:color w:val="auto"/>
          <w:szCs w:val="21"/>
        </w:rPr>
        <w:t>将被拒绝接收。以</w:t>
      </w:r>
      <w:r>
        <w:rPr>
          <w:rFonts w:hint="eastAsia" w:ascii="宋体" w:hAnsi="宋体" w:cs="宋体"/>
          <w:color w:val="auto"/>
          <w:szCs w:val="21"/>
          <w:lang w:val="en-US" w:eastAsia="zh-CN"/>
        </w:rPr>
        <w:t>供应商</w:t>
      </w:r>
      <w:r>
        <w:rPr>
          <w:rFonts w:hint="eastAsia" w:ascii="宋体" w:hAnsi="宋体" w:cs="宋体"/>
          <w:color w:val="auto"/>
          <w:szCs w:val="21"/>
        </w:rPr>
        <w:t>在</w:t>
      </w:r>
      <w:r>
        <w:rPr>
          <w:rFonts w:hint="eastAsia" w:ascii="宋体" w:hAnsi="宋体" w:cs="宋体"/>
          <w:color w:val="auto"/>
          <w:szCs w:val="21"/>
          <w:lang w:val="en-US" w:eastAsia="zh-CN"/>
        </w:rPr>
        <w:t>提交</w:t>
      </w:r>
      <w:r>
        <w:rPr>
          <w:rFonts w:hint="eastAsia" w:ascii="宋体" w:hAnsi="宋体" w:cs="宋体"/>
          <w:color w:val="auto"/>
          <w:szCs w:val="21"/>
          <w:highlight w:val="none"/>
          <w:lang w:val="en-US" w:eastAsia="zh-CN"/>
        </w:rPr>
        <w:t>投标</w:t>
      </w:r>
      <w:r>
        <w:rPr>
          <w:rFonts w:hint="eastAsia" w:ascii="宋体" w:hAnsi="宋体" w:cs="宋体"/>
          <w:color w:val="auto"/>
          <w:szCs w:val="21"/>
          <w:lang w:val="en-US" w:eastAsia="zh-CN"/>
        </w:rPr>
        <w:t>文件</w:t>
      </w:r>
      <w:r>
        <w:rPr>
          <w:rFonts w:hint="eastAsia" w:ascii="宋体" w:hAnsi="宋体" w:cs="宋体"/>
          <w:color w:val="auto"/>
          <w:szCs w:val="21"/>
        </w:rPr>
        <w:t>截止时间前网上递交的电子</w:t>
      </w:r>
      <w:r>
        <w:rPr>
          <w:rFonts w:hint="eastAsia" w:ascii="宋体" w:hAnsi="宋体" w:cs="宋体"/>
          <w:color w:val="auto"/>
          <w:szCs w:val="21"/>
          <w:highlight w:val="none"/>
          <w:lang w:val="en-US" w:eastAsia="zh-CN"/>
        </w:rPr>
        <w:t>投标</w:t>
      </w:r>
      <w:r>
        <w:rPr>
          <w:rFonts w:hint="eastAsia" w:ascii="宋体" w:hAnsi="宋体" w:cs="宋体"/>
          <w:color w:val="auto"/>
          <w:szCs w:val="21"/>
        </w:rPr>
        <w:t>文件为准。</w:t>
      </w:r>
    </w:p>
    <w:p w14:paraId="7B356557">
      <w:pPr>
        <w:pageBreakBefore w:val="0"/>
        <w:kinsoku/>
        <w:wordWrap w:val="0"/>
        <w:topLinePunct w:val="0"/>
        <w:bidi w:val="0"/>
        <w:spacing w:line="500" w:lineRule="exact"/>
        <w:ind w:left="-420" w:leftChars="-200" w:right="0" w:rightChars="0" w:firstLine="843" w:firstLineChars="400"/>
        <w:rPr>
          <w:rFonts w:hint="eastAsia" w:ascii="宋体" w:hAnsi="宋体" w:cs="宋体"/>
          <w:b/>
          <w:color w:val="auto"/>
          <w:szCs w:val="21"/>
          <w:highlight w:val="none"/>
        </w:rPr>
      </w:pPr>
      <w:bookmarkStart w:id="65" w:name="_Toc435"/>
      <w:r>
        <w:rPr>
          <w:rFonts w:hint="eastAsia" w:ascii="宋体" w:hAnsi="宋体" w:cs="宋体"/>
          <w:b/>
          <w:bCs/>
          <w:color w:val="auto"/>
          <w:szCs w:val="21"/>
          <w:highlight w:val="none"/>
        </w:rPr>
        <w:t xml:space="preserve">18. </w:t>
      </w:r>
      <w:bookmarkEnd w:id="65"/>
      <w:r>
        <w:rPr>
          <w:rFonts w:hint="eastAsia" w:ascii="宋体" w:hAnsi="宋体" w:cs="宋体"/>
          <w:b/>
          <w:bCs/>
          <w:color w:val="auto"/>
          <w:szCs w:val="21"/>
          <w:highlight w:val="none"/>
          <w:lang w:val="en-US" w:eastAsia="zh-CN"/>
        </w:rPr>
        <w:t>投标</w:t>
      </w:r>
      <w:r>
        <w:rPr>
          <w:rFonts w:hint="eastAsia" w:ascii="宋体" w:hAnsi="宋体" w:cs="宋体"/>
          <w:b/>
          <w:color w:val="auto"/>
          <w:szCs w:val="21"/>
          <w:highlight w:val="none"/>
        </w:rPr>
        <w:t xml:space="preserve">文件的提交 </w:t>
      </w:r>
    </w:p>
    <w:p w14:paraId="56EA9814">
      <w:pPr>
        <w:pageBreakBefore w:val="0"/>
        <w:kinsoku/>
        <w:wordWrap w:val="0"/>
        <w:topLinePunct w:val="0"/>
        <w:bidi w:val="0"/>
        <w:spacing w:line="500" w:lineRule="exact"/>
        <w:ind w:left="-420" w:leftChars="-200" w:right="0" w:righ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18.1供应商应当在第一章“招标公告”规定的提交</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lang w:val="en-US" w:eastAsia="zh-CN"/>
        </w:rPr>
        <w:t>文件截止时间前，将加密</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lang w:val="en-US" w:eastAsia="zh-CN"/>
        </w:rPr>
        <w:t>文件上传至电子交易系统。</w:t>
      </w:r>
    </w:p>
    <w:p w14:paraId="63DB6B97">
      <w:pPr>
        <w:pageBreakBefore w:val="0"/>
        <w:kinsoku/>
        <w:wordWrap w:val="0"/>
        <w:topLinePunct w:val="0"/>
        <w:bidi w:val="0"/>
        <w:spacing w:line="500" w:lineRule="exact"/>
        <w:ind w:left="-420" w:leftChars="-200" w:right="0" w:righ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18.2除供应商须知前附表另有规定外，供应商所递交的</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lang w:val="en-US" w:eastAsia="zh-CN"/>
        </w:rPr>
        <w:t>文件不予退还。</w:t>
      </w:r>
    </w:p>
    <w:p w14:paraId="0615EEBC">
      <w:pPr>
        <w:pageBreakBefore w:val="0"/>
        <w:kinsoku/>
        <w:wordWrap w:val="0"/>
        <w:topLinePunct w:val="0"/>
        <w:bidi w:val="0"/>
        <w:spacing w:line="500" w:lineRule="exact"/>
        <w:ind w:left="-420" w:leftChars="-200" w:right="0" w:righ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18.3供应商应当在</w:t>
      </w:r>
      <w:r>
        <w:rPr>
          <w:rFonts w:hint="eastAsia" w:ascii="宋体" w:hAnsi="宋体" w:cs="宋体"/>
          <w:color w:val="auto"/>
          <w:szCs w:val="21"/>
          <w:lang w:val="en-US" w:eastAsia="zh-CN"/>
        </w:rPr>
        <w:t>提交</w:t>
      </w:r>
      <w:r>
        <w:rPr>
          <w:rFonts w:hint="eastAsia" w:ascii="宋体" w:hAnsi="宋体" w:cs="宋体"/>
          <w:color w:val="auto"/>
          <w:szCs w:val="21"/>
          <w:highlight w:val="none"/>
          <w:lang w:val="en-US" w:eastAsia="zh-CN"/>
        </w:rPr>
        <w:t>投标</w:t>
      </w:r>
      <w:r>
        <w:rPr>
          <w:rFonts w:hint="eastAsia" w:ascii="宋体" w:hAnsi="宋体" w:cs="宋体"/>
          <w:color w:val="auto"/>
          <w:szCs w:val="21"/>
          <w:lang w:val="en-US" w:eastAsia="zh-CN"/>
        </w:rPr>
        <w:t>文件</w:t>
      </w:r>
      <w:r>
        <w:rPr>
          <w:rFonts w:hint="eastAsia" w:ascii="宋体" w:hAnsi="宋体" w:cs="宋体"/>
          <w:color w:val="auto"/>
          <w:szCs w:val="21"/>
        </w:rPr>
        <w:t>截止时间</w:t>
      </w:r>
      <w:r>
        <w:rPr>
          <w:rFonts w:hint="eastAsia" w:ascii="宋体" w:hAnsi="宋体" w:eastAsia="宋体" w:cs="宋体"/>
          <w:color w:val="auto"/>
          <w:szCs w:val="21"/>
          <w:lang w:val="en-US" w:eastAsia="zh-CN"/>
        </w:rPr>
        <w:t>前完成</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lang w:val="en-US" w:eastAsia="zh-CN"/>
        </w:rPr>
        <w:t>文件的网上递交，并可以补充、修改或者撤回投标文件。</w:t>
      </w:r>
      <w:r>
        <w:rPr>
          <w:rFonts w:hint="eastAsia" w:ascii="宋体" w:hAnsi="宋体" w:cs="宋体"/>
          <w:color w:val="auto"/>
          <w:szCs w:val="21"/>
          <w:lang w:val="en-US" w:eastAsia="zh-CN"/>
        </w:rPr>
        <w:t>提交首次</w:t>
      </w:r>
      <w:r>
        <w:rPr>
          <w:rFonts w:hint="eastAsia" w:ascii="宋体" w:hAnsi="宋体" w:cs="宋体"/>
          <w:color w:val="auto"/>
          <w:szCs w:val="21"/>
          <w:highlight w:val="none"/>
          <w:lang w:val="en-US" w:eastAsia="zh-CN"/>
        </w:rPr>
        <w:t>投标</w:t>
      </w:r>
      <w:r>
        <w:rPr>
          <w:rFonts w:hint="eastAsia" w:ascii="宋体" w:hAnsi="宋体" w:cs="宋体"/>
          <w:color w:val="auto"/>
          <w:szCs w:val="21"/>
          <w:lang w:val="en-US" w:eastAsia="zh-CN"/>
        </w:rPr>
        <w:t>文件</w:t>
      </w:r>
      <w:r>
        <w:rPr>
          <w:rFonts w:hint="eastAsia" w:ascii="宋体" w:hAnsi="宋体" w:cs="宋体"/>
          <w:color w:val="auto"/>
          <w:szCs w:val="21"/>
        </w:rPr>
        <w:t>截止时间</w:t>
      </w:r>
      <w:r>
        <w:rPr>
          <w:rFonts w:hint="eastAsia" w:ascii="宋体" w:hAnsi="宋体" w:eastAsia="宋体" w:cs="宋体"/>
          <w:color w:val="auto"/>
          <w:szCs w:val="21"/>
          <w:lang w:val="en-US" w:eastAsia="zh-CN"/>
        </w:rPr>
        <w:t>前未完成投标文件网上递交的，视为撤回投标文件。未按规定加密或</w:t>
      </w:r>
      <w:r>
        <w:rPr>
          <w:rFonts w:hint="eastAsia" w:ascii="宋体" w:hAnsi="宋体" w:cs="宋体"/>
          <w:color w:val="auto"/>
          <w:szCs w:val="21"/>
          <w:lang w:val="en-US" w:eastAsia="zh-CN"/>
        </w:rPr>
        <w:t>提交首次投标文件</w:t>
      </w:r>
      <w:r>
        <w:rPr>
          <w:rFonts w:hint="eastAsia" w:ascii="宋体" w:hAnsi="宋体" w:cs="宋体"/>
          <w:color w:val="auto"/>
          <w:szCs w:val="21"/>
        </w:rPr>
        <w:t>截止时间</w:t>
      </w:r>
      <w:r>
        <w:rPr>
          <w:rFonts w:hint="eastAsia" w:ascii="宋体" w:hAnsi="宋体" w:eastAsia="宋体" w:cs="宋体"/>
          <w:color w:val="auto"/>
          <w:szCs w:val="21"/>
          <w:lang w:val="en-US" w:eastAsia="zh-CN"/>
        </w:rPr>
        <w:t>后通过网上招标投标系统递交电子投标文件的，电子交易系统应当拒收，投标无效。</w:t>
      </w:r>
    </w:p>
    <w:p w14:paraId="61999346">
      <w:pPr>
        <w:spacing w:line="440" w:lineRule="exact"/>
        <w:ind w:firstLine="422" w:firstLineChars="200"/>
        <w:jc w:val="left"/>
        <w:outlineLvl w:val="2"/>
        <w:rPr>
          <w:rFonts w:ascii="宋体" w:hAnsi="宋体" w:cs="宋体"/>
          <w:b/>
          <w:bCs/>
          <w:color w:val="auto"/>
          <w:szCs w:val="21"/>
          <w:highlight w:val="none"/>
        </w:rPr>
      </w:pPr>
      <w:bookmarkStart w:id="66" w:name="_Toc10261"/>
      <w:r>
        <w:rPr>
          <w:rFonts w:hint="eastAsia" w:ascii="宋体" w:hAnsi="宋体" w:cs="宋体"/>
          <w:b/>
          <w:bCs/>
          <w:color w:val="auto"/>
          <w:szCs w:val="21"/>
          <w:highlight w:val="none"/>
        </w:rPr>
        <w:t>19.   投标</w:t>
      </w:r>
      <w:bookmarkEnd w:id="66"/>
      <w:r>
        <w:rPr>
          <w:rFonts w:hint="eastAsia" w:ascii="宋体" w:hAnsi="宋体" w:cs="宋体"/>
          <w:b/>
          <w:color w:val="auto"/>
          <w:szCs w:val="21"/>
          <w:highlight w:val="none"/>
        </w:rPr>
        <w:t>文件的修改和撤回</w:t>
      </w:r>
    </w:p>
    <w:p w14:paraId="5BB3DEA3">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 xml:space="preserve">19.1  </w:t>
      </w:r>
      <w:r>
        <w:rPr>
          <w:rFonts w:hint="eastAsia" w:ascii="宋体" w:hAnsi="宋体" w:cs="宋体"/>
          <w:color w:val="auto"/>
          <w:szCs w:val="21"/>
        </w:rPr>
        <w:t>在第一章“招标公告”规定的</w:t>
      </w:r>
      <w:r>
        <w:rPr>
          <w:rFonts w:hint="eastAsia" w:ascii="宋体" w:hAnsi="宋体" w:eastAsia="宋体" w:cs="宋体"/>
          <w:color w:val="auto"/>
          <w:szCs w:val="21"/>
          <w:lang w:val="en-US" w:eastAsia="zh-CN"/>
        </w:rPr>
        <w:t>提交投标文件截止时间</w:t>
      </w:r>
      <w:r>
        <w:rPr>
          <w:rFonts w:hint="eastAsia" w:ascii="宋体" w:hAnsi="宋体" w:cs="宋体"/>
          <w:color w:val="auto"/>
          <w:szCs w:val="21"/>
        </w:rPr>
        <w:t>前，</w:t>
      </w:r>
      <w:r>
        <w:rPr>
          <w:rFonts w:hint="eastAsia" w:ascii="宋体" w:hAnsi="宋体" w:cs="宋体"/>
          <w:color w:val="auto"/>
          <w:szCs w:val="21"/>
          <w:lang w:val="en-US" w:eastAsia="zh-CN"/>
        </w:rPr>
        <w:t>供应商</w:t>
      </w:r>
      <w:r>
        <w:rPr>
          <w:rFonts w:hint="eastAsia" w:ascii="宋体" w:hAnsi="宋体" w:cs="宋体"/>
          <w:color w:val="auto"/>
          <w:szCs w:val="21"/>
        </w:rPr>
        <w:t>可以自行从网上开评标系统撤回已递交的</w:t>
      </w:r>
      <w:r>
        <w:rPr>
          <w:rFonts w:hint="eastAsia" w:ascii="宋体" w:hAnsi="宋体" w:eastAsia="宋体" w:cs="宋体"/>
          <w:color w:val="auto"/>
          <w:szCs w:val="21"/>
          <w:lang w:val="en-US" w:eastAsia="zh-CN"/>
        </w:rPr>
        <w:t>投标</w:t>
      </w:r>
      <w:r>
        <w:rPr>
          <w:rFonts w:hint="eastAsia" w:ascii="宋体" w:hAnsi="宋体" w:cs="宋体"/>
          <w:color w:val="auto"/>
          <w:szCs w:val="21"/>
        </w:rPr>
        <w:t>文件，并可修改后重新加密上传，</w:t>
      </w:r>
      <w:r>
        <w:rPr>
          <w:rFonts w:hint="eastAsia" w:ascii="宋体" w:hAnsi="宋体" w:cs="宋体"/>
          <w:color w:val="auto"/>
          <w:szCs w:val="21"/>
          <w:lang w:val="en-US" w:eastAsia="zh-CN"/>
        </w:rPr>
        <w:t>开启</w:t>
      </w:r>
      <w:r>
        <w:rPr>
          <w:rFonts w:hint="eastAsia" w:ascii="宋体" w:hAnsi="宋体" w:cs="宋体"/>
          <w:color w:val="auto"/>
          <w:szCs w:val="21"/>
        </w:rPr>
        <w:t>时以</w:t>
      </w:r>
      <w:r>
        <w:rPr>
          <w:rFonts w:hint="eastAsia" w:ascii="宋体" w:hAnsi="宋体" w:eastAsia="宋体" w:cs="宋体"/>
          <w:color w:val="auto"/>
          <w:szCs w:val="21"/>
          <w:lang w:val="en-US" w:eastAsia="zh-CN"/>
        </w:rPr>
        <w:t>提交投标文件截止时间</w:t>
      </w:r>
      <w:r>
        <w:rPr>
          <w:rFonts w:hint="eastAsia" w:ascii="宋体" w:hAnsi="宋体" w:cs="宋体"/>
          <w:color w:val="auto"/>
          <w:szCs w:val="21"/>
        </w:rPr>
        <w:t>前</w:t>
      </w:r>
      <w:r>
        <w:rPr>
          <w:rFonts w:hint="eastAsia" w:ascii="宋体" w:hAnsi="宋体" w:cs="宋体"/>
          <w:color w:val="auto"/>
          <w:szCs w:val="21"/>
          <w:lang w:val="en-US" w:eastAsia="zh-CN"/>
        </w:rPr>
        <w:t>供应商</w:t>
      </w:r>
      <w:r>
        <w:rPr>
          <w:rFonts w:hint="eastAsia" w:ascii="宋体" w:hAnsi="宋体" w:cs="宋体"/>
          <w:color w:val="auto"/>
          <w:szCs w:val="21"/>
        </w:rPr>
        <w:t>最终上传的</w:t>
      </w:r>
      <w:r>
        <w:rPr>
          <w:rFonts w:hint="eastAsia" w:ascii="宋体" w:hAnsi="宋体" w:eastAsia="宋体" w:cs="宋体"/>
          <w:color w:val="auto"/>
          <w:szCs w:val="21"/>
          <w:lang w:val="en-US" w:eastAsia="zh-CN"/>
        </w:rPr>
        <w:t>投标</w:t>
      </w:r>
      <w:r>
        <w:rPr>
          <w:rFonts w:hint="eastAsia" w:ascii="宋体" w:hAnsi="宋体" w:cs="宋体"/>
          <w:color w:val="auto"/>
          <w:szCs w:val="21"/>
        </w:rPr>
        <w:t>文件为准</w:t>
      </w:r>
    </w:p>
    <w:p w14:paraId="622BD76F">
      <w:pPr>
        <w:spacing w:before="156" w:beforeLines="50" w:after="156" w:afterLines="50" w:line="440" w:lineRule="exact"/>
        <w:jc w:val="center"/>
        <w:outlineLvl w:val="1"/>
        <w:rPr>
          <w:rFonts w:ascii="宋体" w:hAnsi="宋体" w:cs="宋体"/>
          <w:b/>
          <w:bCs/>
          <w:color w:val="auto"/>
          <w:sz w:val="28"/>
          <w:szCs w:val="28"/>
          <w:highlight w:val="none"/>
        </w:rPr>
      </w:pPr>
      <w:bookmarkStart w:id="67" w:name="_Toc31586"/>
      <w:r>
        <w:rPr>
          <w:rFonts w:hint="eastAsia" w:ascii="宋体" w:hAnsi="宋体" w:cs="宋体"/>
          <w:b/>
          <w:bCs/>
          <w:color w:val="auto"/>
          <w:sz w:val="28"/>
          <w:szCs w:val="28"/>
          <w:highlight w:val="none"/>
        </w:rPr>
        <w:t>五、开标、评标和定标</w:t>
      </w:r>
      <w:bookmarkEnd w:id="67"/>
    </w:p>
    <w:p w14:paraId="46F4AE77">
      <w:pPr>
        <w:spacing w:line="440" w:lineRule="exact"/>
        <w:ind w:firstLine="422" w:firstLineChars="200"/>
        <w:jc w:val="left"/>
        <w:outlineLvl w:val="2"/>
        <w:rPr>
          <w:rFonts w:ascii="宋体" w:hAnsi="宋体" w:cs="宋体"/>
          <w:b/>
          <w:bCs/>
          <w:color w:val="auto"/>
          <w:szCs w:val="21"/>
          <w:highlight w:val="none"/>
        </w:rPr>
      </w:pPr>
      <w:bookmarkStart w:id="68" w:name="_Toc10194"/>
      <w:r>
        <w:rPr>
          <w:rFonts w:hint="eastAsia" w:ascii="宋体" w:hAnsi="宋体" w:cs="宋体"/>
          <w:b/>
          <w:bCs/>
          <w:color w:val="auto"/>
          <w:szCs w:val="21"/>
          <w:highlight w:val="none"/>
        </w:rPr>
        <w:t>20.   开标</w:t>
      </w:r>
      <w:bookmarkEnd w:id="68"/>
    </w:p>
    <w:p w14:paraId="33D5EF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20.1  开标的时间和地点</w:t>
      </w:r>
    </w:p>
    <w:p w14:paraId="3159E2D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20.1.1采购人按本须知第19.1条提交投标文件的截止时间和地点</w:t>
      </w:r>
      <w:r>
        <w:rPr>
          <w:rFonts w:hint="eastAsia" w:ascii="宋体" w:hAnsi="宋体" w:eastAsia="宋体" w:cs="宋体"/>
          <w:color w:val="auto"/>
          <w:szCs w:val="21"/>
          <w:lang w:val="en-US" w:eastAsia="zh-CN"/>
        </w:rPr>
        <w:t>通过电子交易系统公开开启</w:t>
      </w:r>
      <w:r>
        <w:rPr>
          <w:rFonts w:hint="eastAsia" w:ascii="宋体" w:hAnsi="宋体" w:cs="宋体"/>
          <w:color w:val="auto"/>
          <w:szCs w:val="21"/>
          <w:highlight w:val="none"/>
        </w:rPr>
        <w:t>。</w:t>
      </w:r>
    </w:p>
    <w:p w14:paraId="60606E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20.2  参与开标的监督部门</w:t>
      </w:r>
    </w:p>
    <w:p w14:paraId="6E7B41BE">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20.2.1参与开标的部门包括：采购单位、代理机构等。</w:t>
      </w:r>
    </w:p>
    <w:p w14:paraId="099606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20.3  对参加开标的投标供应商的要求</w:t>
      </w:r>
    </w:p>
    <w:p w14:paraId="5B8F5B75">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20.3.1开标程序</w:t>
      </w:r>
    </w:p>
    <w:p w14:paraId="25B47CC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开标会议由</w:t>
      </w:r>
      <w:r>
        <w:rPr>
          <w:rFonts w:hint="eastAsia" w:ascii="宋体" w:hAnsi="宋体" w:cs="宋体"/>
          <w:color w:val="auto"/>
          <w:szCs w:val="21"/>
          <w:highlight w:val="none"/>
          <w:lang w:eastAsia="zh-CN"/>
        </w:rPr>
        <w:t>滁州市城投工程咨询管理有限公司</w:t>
      </w:r>
      <w:r>
        <w:rPr>
          <w:rFonts w:hint="eastAsia" w:ascii="宋体" w:hAnsi="宋体" w:cs="宋体"/>
          <w:color w:val="auto"/>
          <w:szCs w:val="21"/>
          <w:highlight w:val="none"/>
        </w:rPr>
        <w:t>（代理机构）主持。</w:t>
      </w:r>
    </w:p>
    <w:p w14:paraId="1824DA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14:paraId="58ECCC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（2）宣布招标（采购）人、代理机构主持人等有关人员姓名；</w:t>
      </w:r>
    </w:p>
    <w:p w14:paraId="0F64215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eastAsia="宋体" w:cs="宋体"/>
          <w:color w:val="auto"/>
          <w:szCs w:val="21"/>
          <w:lang w:val="en-US" w:eastAsia="zh-CN"/>
        </w:rPr>
        <w:t>完成解密工作，导入并读取所有成功解密的响应文件</w:t>
      </w:r>
      <w:r>
        <w:rPr>
          <w:rFonts w:hint="eastAsia" w:ascii="宋体" w:hAnsi="宋体" w:cs="宋体"/>
          <w:color w:val="auto"/>
          <w:szCs w:val="21"/>
          <w:highlight w:val="none"/>
        </w:rPr>
        <w:t xml:space="preserve">； </w:t>
      </w:r>
    </w:p>
    <w:p w14:paraId="0F5FF7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（4）公布投标供应商投标报价、质量目标、供货期及其他内容，并记录在案；</w:t>
      </w:r>
    </w:p>
    <w:p w14:paraId="6F938028">
      <w:pPr>
        <w:spacing w:line="440" w:lineRule="exact"/>
        <w:ind w:firstLine="420" w:firstLineChars="200"/>
        <w:jc w:val="left"/>
        <w:outlineLvl w:val="0"/>
        <w:rPr>
          <w:rFonts w:ascii="宋体" w:hAnsi="宋体" w:cs="宋体"/>
          <w:color w:val="auto"/>
          <w:szCs w:val="21"/>
          <w:highlight w:val="none"/>
        </w:rPr>
      </w:pPr>
      <w:bookmarkStart w:id="69" w:name="_Toc618"/>
      <w:r>
        <w:rPr>
          <w:rFonts w:hint="eastAsia" w:ascii="宋体" w:hAnsi="宋体" w:cs="宋体"/>
          <w:color w:val="auto"/>
          <w:szCs w:val="21"/>
          <w:highlight w:val="none"/>
        </w:rPr>
        <w:t>（5）开标结束。</w:t>
      </w:r>
      <w:bookmarkEnd w:id="69"/>
    </w:p>
    <w:p w14:paraId="08A8717A">
      <w:pPr>
        <w:spacing w:line="440" w:lineRule="exact"/>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70" w:name="_Toc6681"/>
      <w:r>
        <w:rPr>
          <w:rFonts w:hint="eastAsia" w:ascii="宋体" w:hAnsi="宋体" w:cs="宋体"/>
          <w:color w:val="auto"/>
          <w:szCs w:val="21"/>
          <w:highlight w:val="none"/>
        </w:rPr>
        <w:t>20.3.2开标异议</w:t>
      </w:r>
      <w:bookmarkEnd w:id="70"/>
    </w:p>
    <w:p w14:paraId="7CC0DC6D">
      <w:pPr>
        <w:pStyle w:val="25"/>
        <w:spacing w:line="440" w:lineRule="exact"/>
        <w:ind w:firstLine="420"/>
        <w:rPr>
          <w:rFonts w:ascii="宋体" w:hAnsi="宋体" w:cs="宋体"/>
          <w:color w:val="auto"/>
          <w:szCs w:val="21"/>
          <w:highlight w:val="none"/>
        </w:rPr>
      </w:pPr>
      <w:r>
        <w:rPr>
          <w:rFonts w:hint="eastAsia" w:hAnsi="宋体" w:cs="宋体"/>
          <w:color w:val="auto"/>
          <w:sz w:val="21"/>
          <w:szCs w:val="21"/>
          <w:highlight w:val="none"/>
        </w:rPr>
        <w:t>投标供应商对开标有异议的，应当在开标现场提出，采购人当场作出答复，并制作记录</w:t>
      </w:r>
      <w:r>
        <w:rPr>
          <w:rFonts w:hint="eastAsia" w:ascii="宋体" w:hAnsi="宋体" w:cs="宋体"/>
          <w:color w:val="auto"/>
          <w:szCs w:val="21"/>
          <w:highlight w:val="none"/>
        </w:rPr>
        <w:t>。</w:t>
      </w:r>
    </w:p>
    <w:p w14:paraId="34DE06CB">
      <w:pPr>
        <w:spacing w:line="440" w:lineRule="exact"/>
        <w:ind w:firstLine="420" w:firstLineChars="200"/>
        <w:jc w:val="left"/>
        <w:outlineLvl w:val="1"/>
        <w:rPr>
          <w:rFonts w:ascii="宋体" w:hAnsi="宋体" w:cs="宋体"/>
          <w:color w:val="auto"/>
          <w:szCs w:val="21"/>
          <w:highlight w:val="none"/>
        </w:rPr>
      </w:pPr>
      <w:bookmarkStart w:id="71" w:name="_Toc3030"/>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评标</w:t>
      </w:r>
      <w:bookmarkEnd w:id="71"/>
    </w:p>
    <w:p w14:paraId="44B7620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 评标准备工作</w:t>
      </w:r>
    </w:p>
    <w:p w14:paraId="4A3971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②阅读由采购人或代理机构编写的招标项目情况的说明材料；</w:t>
      </w:r>
    </w:p>
    <w:p w14:paraId="18C1413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③阅读、研究采购文件和相关评标资料，获取评标所需要的重要信息和数据；</w:t>
      </w:r>
    </w:p>
    <w:p w14:paraId="48F05E15">
      <w:pPr>
        <w:spacing w:line="4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④</w:t>
      </w:r>
      <w:r>
        <w:rPr>
          <w:rFonts w:hint="eastAsia" w:ascii="宋体" w:hAnsi="宋体" w:cs="宋体"/>
          <w:color w:val="auto"/>
          <w:szCs w:val="21"/>
          <w:highlight w:val="none"/>
        </w:rPr>
        <w:t>熟悉采购文件规定的评标方法及在评标过程中需要考虑的相关因素；</w:t>
      </w:r>
    </w:p>
    <w:p w14:paraId="485629D0">
      <w:pPr>
        <w:spacing w:line="440" w:lineRule="exact"/>
        <w:ind w:firstLine="420" w:firstLineChars="200"/>
        <w:jc w:val="left"/>
        <w:outlineLvl w:val="2"/>
        <w:rPr>
          <w:rFonts w:ascii="宋体" w:hAnsi="宋体" w:cs="宋体"/>
          <w:color w:val="auto"/>
          <w:szCs w:val="21"/>
          <w:highlight w:val="none"/>
        </w:rPr>
      </w:pPr>
      <w:bookmarkStart w:id="72" w:name="_Toc26808"/>
      <w:r>
        <w:rPr>
          <w:rFonts w:hint="eastAsia" w:ascii="宋体" w:hAnsi="宋体" w:cs="宋体"/>
          <w:color w:val="auto"/>
          <w:szCs w:val="21"/>
          <w:highlight w:val="none"/>
        </w:rPr>
        <w:t>⑤核对评标工作用表。</w:t>
      </w:r>
      <w:bookmarkEnd w:id="72"/>
    </w:p>
    <w:p w14:paraId="2C8EF6C4">
      <w:pPr>
        <w:spacing w:line="440" w:lineRule="exact"/>
        <w:ind w:firstLine="420" w:firstLineChars="200"/>
        <w:jc w:val="left"/>
        <w:outlineLvl w:val="1"/>
        <w:rPr>
          <w:rFonts w:ascii="宋体" w:hAnsi="宋体" w:cs="宋体"/>
          <w:color w:val="auto"/>
          <w:szCs w:val="21"/>
          <w:highlight w:val="none"/>
        </w:rPr>
      </w:pPr>
      <w:bookmarkStart w:id="73" w:name="_Toc17538"/>
      <w:r>
        <w:rPr>
          <w:rFonts w:hint="eastAsia" w:ascii="宋体" w:hAnsi="宋体" w:cs="宋体"/>
          <w:color w:val="auto"/>
          <w:szCs w:val="21"/>
          <w:highlight w:val="none"/>
        </w:rPr>
        <w:t>29.2  评标办法</w:t>
      </w:r>
      <w:bookmarkEnd w:id="73"/>
    </w:p>
    <w:p w14:paraId="039D8DC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29.2.1评标委员会按照第三章“评标办法”规定的方法、评审因素、标准和程序对投标文件进行评审。第三章“评标办法”没有规定的方法、评审因素和标准，不作为评标依据。</w:t>
      </w:r>
    </w:p>
    <w:p w14:paraId="4E53E2B4">
      <w:pPr>
        <w:spacing w:line="440" w:lineRule="exact"/>
        <w:ind w:firstLine="420" w:firstLineChars="200"/>
        <w:jc w:val="left"/>
        <w:outlineLvl w:val="1"/>
        <w:rPr>
          <w:rFonts w:ascii="宋体" w:hAnsi="宋体" w:cs="宋体"/>
          <w:color w:val="auto"/>
          <w:szCs w:val="21"/>
          <w:highlight w:val="none"/>
        </w:rPr>
      </w:pPr>
      <w:bookmarkStart w:id="74" w:name="_Toc29376"/>
      <w:r>
        <w:rPr>
          <w:rFonts w:hint="eastAsia" w:ascii="宋体" w:hAnsi="宋体" w:cs="宋体"/>
          <w:color w:val="auto"/>
          <w:szCs w:val="21"/>
          <w:highlight w:val="none"/>
        </w:rPr>
        <w:t>20.6评标原则：</w:t>
      </w:r>
      <w:bookmarkEnd w:id="74"/>
    </w:p>
    <w:p w14:paraId="032CF9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遵循公平、公正、科学和择优的原则。</w:t>
      </w:r>
    </w:p>
    <w:p w14:paraId="6F5BEDAB">
      <w:pPr>
        <w:spacing w:line="440" w:lineRule="exact"/>
        <w:ind w:firstLine="422" w:firstLineChars="200"/>
        <w:jc w:val="left"/>
        <w:outlineLvl w:val="1"/>
        <w:rPr>
          <w:rFonts w:ascii="宋体" w:hAnsi="宋体" w:cs="宋体"/>
          <w:b/>
          <w:bCs/>
          <w:color w:val="auto"/>
          <w:szCs w:val="21"/>
          <w:highlight w:val="none"/>
        </w:rPr>
      </w:pPr>
      <w:bookmarkStart w:id="75" w:name="_Toc6243"/>
      <w:r>
        <w:rPr>
          <w:rFonts w:hint="eastAsia" w:ascii="宋体" w:hAnsi="宋体" w:cs="宋体"/>
          <w:b/>
          <w:bCs/>
          <w:color w:val="auto"/>
          <w:szCs w:val="21"/>
          <w:highlight w:val="none"/>
        </w:rPr>
        <w:t>20.7关于提供相同品牌的处理 （本项目不采用）</w:t>
      </w:r>
      <w:bookmarkEnd w:id="75"/>
    </w:p>
    <w:p w14:paraId="34B9B9E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采购文件规定的方式确定一个投标供应商获得中标人推荐资格，采购文件未规定的，采取随机抽取方式确定，其他同品牌投标供应商不作为中标候选人。</w:t>
      </w:r>
    </w:p>
    <w:p w14:paraId="541E8CC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非单一产品采购项目，采购人应当根据采购项目技术构成、产品价格比重等合理确定核心产品，并在采购文件中载明。多家投标供应商提供的核心产品品牌相同的，按前款规定处理。</w:t>
      </w:r>
    </w:p>
    <w:p w14:paraId="330C1D77">
      <w:pPr>
        <w:spacing w:line="440" w:lineRule="exact"/>
        <w:ind w:firstLine="422" w:firstLineChars="200"/>
        <w:jc w:val="left"/>
        <w:outlineLvl w:val="1"/>
        <w:rPr>
          <w:rFonts w:ascii="宋体" w:hAnsi="宋体" w:cs="宋体"/>
          <w:b/>
          <w:bCs/>
          <w:color w:val="auto"/>
          <w:szCs w:val="21"/>
          <w:highlight w:val="none"/>
        </w:rPr>
      </w:pPr>
      <w:bookmarkStart w:id="76" w:name="_Toc30420"/>
      <w:r>
        <w:rPr>
          <w:rFonts w:hint="eastAsia" w:ascii="宋体" w:hAnsi="宋体" w:cs="宋体"/>
          <w:b/>
          <w:bCs/>
          <w:color w:val="auto"/>
          <w:szCs w:val="21"/>
          <w:highlight w:val="none"/>
        </w:rPr>
        <w:t>21. 无效投标文件</w:t>
      </w:r>
      <w:bookmarkEnd w:id="76"/>
    </w:p>
    <w:p w14:paraId="72D33046">
      <w:pPr>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21.1投标文件出现下列情形之一的，投标文件无效，采购人不予受理。</w:t>
      </w:r>
    </w:p>
    <w:p w14:paraId="2AEFE9A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①逾期</w:t>
      </w:r>
      <w:r>
        <w:rPr>
          <w:rFonts w:hint="eastAsia" w:ascii="宋体" w:hAnsi="宋体" w:cs="宋体"/>
          <w:color w:val="auto"/>
          <w:szCs w:val="21"/>
          <w:highlight w:val="none"/>
          <w:lang w:val="en-US" w:eastAsia="zh-CN"/>
        </w:rPr>
        <w:t>递交</w:t>
      </w:r>
      <w:r>
        <w:rPr>
          <w:rFonts w:hint="eastAsia" w:ascii="宋体" w:hAnsi="宋体" w:cs="宋体"/>
          <w:color w:val="auto"/>
          <w:szCs w:val="21"/>
          <w:highlight w:val="none"/>
        </w:rPr>
        <w:t>的或未</w:t>
      </w:r>
      <w:r>
        <w:rPr>
          <w:rFonts w:hint="eastAsia" w:ascii="宋体" w:hAnsi="宋体" w:cs="宋体"/>
          <w:color w:val="auto"/>
          <w:szCs w:val="21"/>
          <w:highlight w:val="none"/>
          <w:lang w:val="en-US" w:eastAsia="zh-CN"/>
        </w:rPr>
        <w:t>按要求递交</w:t>
      </w:r>
      <w:r>
        <w:rPr>
          <w:rFonts w:hint="eastAsia" w:ascii="宋体" w:hAnsi="宋体" w:cs="宋体"/>
          <w:color w:val="auto"/>
          <w:szCs w:val="21"/>
          <w:highlight w:val="none"/>
        </w:rPr>
        <w:t>的；</w:t>
      </w:r>
    </w:p>
    <w:p w14:paraId="50E3D8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②未按采购文件要求</w:t>
      </w:r>
      <w:r>
        <w:rPr>
          <w:rFonts w:hint="eastAsia" w:ascii="宋体" w:hAnsi="宋体" w:cs="宋体"/>
          <w:color w:val="auto"/>
          <w:szCs w:val="21"/>
          <w:highlight w:val="none"/>
          <w:lang w:val="en-US" w:eastAsia="zh-CN"/>
        </w:rPr>
        <w:t>解密</w:t>
      </w:r>
      <w:r>
        <w:rPr>
          <w:rFonts w:hint="eastAsia" w:ascii="宋体" w:hAnsi="宋体" w:cs="宋体"/>
          <w:color w:val="auto"/>
          <w:szCs w:val="21"/>
          <w:highlight w:val="none"/>
        </w:rPr>
        <w:t>的；</w:t>
      </w:r>
    </w:p>
    <w:p w14:paraId="4FF68E9B">
      <w:pPr>
        <w:spacing w:line="440" w:lineRule="exact"/>
        <w:ind w:firstLine="422" w:firstLineChars="200"/>
        <w:jc w:val="left"/>
        <w:outlineLvl w:val="1"/>
        <w:rPr>
          <w:rFonts w:ascii="宋体" w:hAnsi="宋体" w:cs="宋体"/>
          <w:b/>
          <w:bCs/>
          <w:color w:val="auto"/>
          <w:szCs w:val="21"/>
          <w:highlight w:val="none"/>
        </w:rPr>
      </w:pPr>
      <w:bookmarkStart w:id="77" w:name="_Toc3112"/>
      <w:r>
        <w:rPr>
          <w:rFonts w:hint="eastAsia" w:ascii="宋体" w:hAnsi="宋体" w:cs="宋体"/>
          <w:b/>
          <w:bCs/>
          <w:color w:val="auto"/>
          <w:szCs w:val="21"/>
          <w:highlight w:val="none"/>
        </w:rPr>
        <w:t>22. 定标</w:t>
      </w:r>
      <w:bookmarkEnd w:id="77"/>
    </w:p>
    <w:p w14:paraId="40C9A8CD">
      <w:pPr>
        <w:spacing w:line="440" w:lineRule="exact"/>
        <w:ind w:firstLine="420" w:firstLineChars="200"/>
        <w:jc w:val="left"/>
        <w:outlineLvl w:val="2"/>
        <w:rPr>
          <w:rFonts w:ascii="宋体" w:hAnsi="宋体" w:cs="宋体"/>
          <w:color w:val="auto"/>
          <w:szCs w:val="21"/>
          <w:highlight w:val="none"/>
        </w:rPr>
      </w:pPr>
      <w:bookmarkStart w:id="78" w:name="_Toc7714"/>
      <w:r>
        <w:rPr>
          <w:rFonts w:hint="eastAsia" w:ascii="宋体" w:hAnsi="宋体" w:cs="宋体"/>
          <w:color w:val="auto"/>
          <w:szCs w:val="21"/>
          <w:highlight w:val="none"/>
        </w:rPr>
        <w:t>22.1  中标候选人的确定</w:t>
      </w:r>
      <w:bookmarkEnd w:id="78"/>
    </w:p>
    <w:p w14:paraId="135D87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22.1.1除投标供应商须知前附表规定评标委员会直接确定中标人外，采购人依据评标委员会推荐的中标候选人确定中标人，评标委员会推荐中标候选人的人数见投标供应商须知前附表。</w:t>
      </w:r>
    </w:p>
    <w:p w14:paraId="062FC0A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22.1.2中标人确定后，采购人应将中标人名单在</w:t>
      </w:r>
      <w:r>
        <w:rPr>
          <w:rFonts w:hint="eastAsia" w:ascii="宋体" w:hAnsi="宋体" w:cs="宋体"/>
          <w:color w:val="auto"/>
          <w:szCs w:val="21"/>
          <w:highlight w:val="none"/>
          <w:lang w:val="en-US" w:eastAsia="zh-CN"/>
        </w:rPr>
        <w:t>滁州市城投工程咨询管理有限公司网站、</w:t>
      </w:r>
      <w:r>
        <w:rPr>
          <w:rFonts w:hint="eastAsia" w:ascii="宋体" w:hAnsi="宋体" w:cs="宋体"/>
          <w:bCs/>
          <w:color w:val="auto"/>
          <w:szCs w:val="21"/>
          <w:highlight w:val="none"/>
        </w:rPr>
        <w:t>滁州学院网站（http://zcc.chzu.edu.cn）</w:t>
      </w:r>
      <w:r>
        <w:rPr>
          <w:rFonts w:hint="eastAsia" w:ascii="宋体" w:hAnsi="宋体" w:cs="宋体"/>
          <w:bCs/>
          <w:color w:val="auto"/>
          <w:szCs w:val="21"/>
          <w:highlight w:val="none"/>
          <w:lang w:eastAsia="zh-CN"/>
        </w:rPr>
        <w:t xml:space="preserve"> 滁州学院资产与实验室管理处</w:t>
      </w:r>
      <w:r>
        <w:rPr>
          <w:rFonts w:hint="eastAsia" w:ascii="宋体" w:hAnsi="宋体" w:cs="宋体"/>
          <w:bCs/>
          <w:color w:val="auto"/>
          <w:szCs w:val="21"/>
          <w:highlight w:val="none"/>
        </w:rPr>
        <w:t>网页采购公告栏处予以公告</w:t>
      </w:r>
      <w:r>
        <w:rPr>
          <w:rFonts w:hint="eastAsia" w:ascii="宋体" w:hAnsi="宋体" w:cs="宋体"/>
          <w:color w:val="auto"/>
          <w:szCs w:val="21"/>
          <w:highlight w:val="none"/>
        </w:rPr>
        <w:t>。</w:t>
      </w:r>
    </w:p>
    <w:p w14:paraId="70FF9AB1">
      <w:pPr>
        <w:pStyle w:val="14"/>
        <w:spacing w:line="440" w:lineRule="exact"/>
        <w:ind w:firstLine="420" w:firstLineChars="200"/>
        <w:jc w:val="left"/>
        <w:rPr>
          <w:rFonts w:hAnsi="宋体" w:cs="宋体"/>
          <w:color w:val="auto"/>
          <w:szCs w:val="21"/>
          <w:highlight w:val="none"/>
        </w:rPr>
      </w:pPr>
      <w:r>
        <w:rPr>
          <w:rFonts w:hint="eastAsia" w:hAnsi="宋体" w:cs="宋体"/>
          <w:color w:val="auto"/>
          <w:szCs w:val="21"/>
          <w:highlight w:val="none"/>
        </w:rPr>
        <w:t>22.1.3在采购文件规定的</w:t>
      </w:r>
      <w:r>
        <w:rPr>
          <w:rFonts w:hint="eastAsia" w:hAnsi="宋体" w:cs="宋体"/>
          <w:color w:val="auto"/>
          <w:szCs w:val="21"/>
          <w:highlight w:val="none"/>
          <w:lang w:eastAsia="zh-CN"/>
        </w:rPr>
        <w:t>投标文件</w:t>
      </w:r>
      <w:r>
        <w:rPr>
          <w:rFonts w:hint="eastAsia" w:hAnsi="宋体" w:cs="宋体"/>
          <w:color w:val="auto"/>
          <w:szCs w:val="21"/>
          <w:highlight w:val="none"/>
        </w:rPr>
        <w:t>递交截止时间后，供应商不足三家或在评审期间，出现符合条件的供应商不足三家的情形时，本项目流标进行二次招标。</w:t>
      </w:r>
    </w:p>
    <w:p w14:paraId="18DE5D15">
      <w:pPr>
        <w:spacing w:line="440" w:lineRule="exact"/>
        <w:ind w:firstLine="422" w:firstLineChars="200"/>
        <w:jc w:val="left"/>
        <w:outlineLvl w:val="1"/>
        <w:rPr>
          <w:rFonts w:ascii="宋体" w:hAnsi="宋体" w:cs="宋体"/>
          <w:b/>
          <w:bCs/>
          <w:color w:val="auto"/>
          <w:szCs w:val="21"/>
          <w:highlight w:val="none"/>
        </w:rPr>
      </w:pPr>
      <w:bookmarkStart w:id="79" w:name="_Toc1664"/>
      <w:r>
        <w:rPr>
          <w:rFonts w:hint="eastAsia" w:ascii="宋体" w:hAnsi="宋体" w:cs="宋体"/>
          <w:b/>
          <w:bCs/>
          <w:color w:val="auto"/>
          <w:szCs w:val="21"/>
          <w:highlight w:val="none"/>
        </w:rPr>
        <w:t>23中标价</w:t>
      </w:r>
      <w:bookmarkEnd w:id="79"/>
    </w:p>
    <w:p w14:paraId="25A5ADF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kern w:val="0"/>
          <w:szCs w:val="21"/>
          <w:highlight w:val="none"/>
        </w:rPr>
        <w:t>在评标中经过修正的中标单位的投标总报价作为中标价，中标价即为合同价。</w:t>
      </w:r>
      <w:r>
        <w:rPr>
          <w:rFonts w:hint="eastAsia" w:ascii="宋体" w:hAnsi="宋体" w:cs="宋体"/>
          <w:b/>
          <w:bCs/>
          <w:color w:val="auto"/>
          <w:kern w:val="0"/>
          <w:szCs w:val="21"/>
          <w:highlight w:val="none"/>
        </w:rPr>
        <w:t>本项目采用固定</w:t>
      </w:r>
      <w:r>
        <w:rPr>
          <w:rFonts w:hint="eastAsia" w:ascii="宋体" w:hAnsi="宋体" w:cs="宋体"/>
          <w:b/>
          <w:bCs/>
          <w:color w:val="auto"/>
          <w:kern w:val="0"/>
          <w:szCs w:val="21"/>
          <w:highlight w:val="none"/>
          <w:lang w:val="en-US" w:eastAsia="zh-CN"/>
        </w:rPr>
        <w:t>总价</w:t>
      </w:r>
      <w:r>
        <w:rPr>
          <w:rFonts w:hint="eastAsia" w:ascii="宋体" w:hAnsi="宋体" w:cs="宋体"/>
          <w:b/>
          <w:bCs/>
          <w:color w:val="auto"/>
          <w:kern w:val="0"/>
          <w:szCs w:val="21"/>
          <w:highlight w:val="none"/>
        </w:rPr>
        <w:t>合同，中标后所报</w:t>
      </w:r>
      <w:r>
        <w:rPr>
          <w:rFonts w:hint="eastAsia" w:ascii="宋体" w:hAnsi="宋体" w:cs="宋体"/>
          <w:b/>
          <w:bCs/>
          <w:color w:val="auto"/>
          <w:kern w:val="0"/>
          <w:szCs w:val="21"/>
          <w:highlight w:val="none"/>
          <w:lang w:val="en-US" w:eastAsia="zh-CN"/>
        </w:rPr>
        <w:t>价格</w:t>
      </w:r>
      <w:r>
        <w:rPr>
          <w:rFonts w:hint="eastAsia" w:ascii="宋体" w:hAnsi="宋体" w:cs="宋体"/>
          <w:b/>
          <w:bCs/>
          <w:color w:val="auto"/>
          <w:kern w:val="0"/>
          <w:szCs w:val="21"/>
          <w:highlight w:val="none"/>
        </w:rPr>
        <w:t>不予调整。</w:t>
      </w:r>
    </w:p>
    <w:p w14:paraId="600EE30C">
      <w:pPr>
        <w:spacing w:before="156" w:beforeLines="50" w:after="156" w:afterLines="50" w:line="440" w:lineRule="exact"/>
        <w:jc w:val="center"/>
        <w:outlineLvl w:val="1"/>
        <w:rPr>
          <w:rFonts w:ascii="宋体" w:hAnsi="宋体" w:cs="宋体"/>
          <w:color w:val="auto"/>
          <w:szCs w:val="21"/>
          <w:highlight w:val="none"/>
        </w:rPr>
      </w:pPr>
      <w:bookmarkStart w:id="80" w:name="_Toc30200"/>
      <w:r>
        <w:rPr>
          <w:rFonts w:hint="eastAsia" w:ascii="宋体" w:hAnsi="宋体" w:cs="宋体"/>
          <w:b/>
          <w:bCs/>
          <w:color w:val="auto"/>
          <w:sz w:val="28"/>
          <w:szCs w:val="28"/>
          <w:highlight w:val="none"/>
        </w:rPr>
        <w:t>六、合同的授予</w:t>
      </w:r>
      <w:bookmarkEnd w:id="80"/>
    </w:p>
    <w:p w14:paraId="36291DCC">
      <w:pPr>
        <w:spacing w:line="440" w:lineRule="exact"/>
        <w:ind w:firstLine="422" w:firstLineChars="200"/>
        <w:jc w:val="left"/>
        <w:outlineLvl w:val="2"/>
        <w:rPr>
          <w:rFonts w:ascii="宋体" w:hAnsi="宋体" w:cs="宋体"/>
          <w:b/>
          <w:bCs/>
          <w:color w:val="auto"/>
          <w:szCs w:val="21"/>
          <w:highlight w:val="none"/>
        </w:rPr>
      </w:pPr>
      <w:bookmarkStart w:id="81" w:name="_Toc25482"/>
      <w:r>
        <w:rPr>
          <w:rFonts w:hint="eastAsia" w:ascii="宋体" w:hAnsi="宋体" w:cs="宋体"/>
          <w:b/>
          <w:bCs/>
          <w:color w:val="auto"/>
          <w:szCs w:val="21"/>
          <w:highlight w:val="none"/>
        </w:rPr>
        <w:t>24. 合同授予标准</w:t>
      </w:r>
      <w:bookmarkEnd w:id="81"/>
    </w:p>
    <w:p w14:paraId="6268FE2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本招标采购的合同将授予按本须知第22条规定所确定的中标人。</w:t>
      </w:r>
    </w:p>
    <w:p w14:paraId="70EB700A">
      <w:pPr>
        <w:spacing w:line="440" w:lineRule="exact"/>
        <w:ind w:firstLine="422" w:firstLineChars="200"/>
        <w:jc w:val="left"/>
        <w:outlineLvl w:val="2"/>
        <w:rPr>
          <w:rFonts w:ascii="宋体" w:hAnsi="宋体" w:cs="宋体"/>
          <w:b/>
          <w:bCs/>
          <w:color w:val="auto"/>
          <w:szCs w:val="21"/>
          <w:highlight w:val="none"/>
        </w:rPr>
      </w:pPr>
      <w:bookmarkStart w:id="82" w:name="_Toc1492"/>
      <w:r>
        <w:rPr>
          <w:rFonts w:hint="eastAsia" w:ascii="宋体" w:hAnsi="宋体" w:cs="宋体"/>
          <w:b/>
          <w:bCs/>
          <w:color w:val="auto"/>
          <w:szCs w:val="21"/>
          <w:highlight w:val="none"/>
        </w:rPr>
        <w:t>25. 合同协议书的签订</w:t>
      </w:r>
      <w:bookmarkEnd w:id="82"/>
    </w:p>
    <w:p w14:paraId="1336273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  采购人与中标人将于项目公示结束并确定中标单位起</w:t>
      </w:r>
      <w:r>
        <w:rPr>
          <w:rFonts w:hint="eastAsia" w:ascii="宋体" w:hAnsi="宋体" w:cs="宋体"/>
          <w:b/>
          <w:bCs/>
          <w:color w:val="auto"/>
          <w:szCs w:val="21"/>
          <w:highlight w:val="none"/>
        </w:rPr>
        <w:t>7个工作</w:t>
      </w:r>
      <w:r>
        <w:rPr>
          <w:rFonts w:hint="eastAsia" w:ascii="宋体" w:hAnsi="宋体" w:cs="宋体"/>
          <w:color w:val="auto"/>
          <w:szCs w:val="21"/>
          <w:highlight w:val="none"/>
        </w:rPr>
        <w:t>日内，按照采购文件和中标人的投标文件订立书面合同。采购人和中标人不得再行订立背离合同实质性内容的其他协议。</w:t>
      </w:r>
    </w:p>
    <w:p w14:paraId="1F8B654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25.2  采购人如不按第24条的规定与中标人订立合同，或者采购人、中标人订立背离合同实质性内容的协议，采购人应当按投标保证金的数额对投标供应商进行赔偿，给投标供应商造成的损失超过投标保证金数额的，还应当对超过部分予以赔偿，同时依法承担相应法律责任。</w:t>
      </w:r>
    </w:p>
    <w:p w14:paraId="41B988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25.3  中标人如不按第24条的规定与采购人订立合同，则采购人将废除授标，投标担保金不予退还，给采购人造成的损失超过投标担保数额的，还应当对超过部分予以赔偿，同时依法承担相应法律责任。</w:t>
      </w:r>
    </w:p>
    <w:p w14:paraId="05B55377">
      <w:pPr>
        <w:spacing w:line="440" w:lineRule="exact"/>
        <w:ind w:firstLine="420" w:firstLineChars="200"/>
        <w:jc w:val="left"/>
        <w:rPr>
          <w:rFonts w:ascii="宋体" w:hAnsi="宋体" w:cs="宋体"/>
          <w:b/>
          <w:color w:val="auto"/>
          <w:sz w:val="32"/>
          <w:szCs w:val="32"/>
          <w:highlight w:val="none"/>
        </w:rPr>
      </w:pPr>
      <w:r>
        <w:rPr>
          <w:rFonts w:hint="eastAsia" w:ascii="宋体" w:hAnsi="宋体" w:cs="宋体"/>
          <w:color w:val="auto"/>
          <w:szCs w:val="21"/>
          <w:highlight w:val="none"/>
        </w:rPr>
        <w:t>25.4  中标人应当按照合同约定履行义务，完成中标项目，不得将中标项目转让（转包）给他人。</w:t>
      </w:r>
    </w:p>
    <w:p w14:paraId="184FB6FA">
      <w:pPr>
        <w:spacing w:line="440" w:lineRule="exact"/>
        <w:ind w:firstLine="413" w:firstLineChars="196"/>
        <w:outlineLvl w:val="2"/>
        <w:rPr>
          <w:rFonts w:ascii="宋体" w:hAnsi="宋体" w:cs="宋体"/>
          <w:color w:val="auto"/>
          <w:szCs w:val="21"/>
          <w:highlight w:val="none"/>
        </w:rPr>
      </w:pPr>
      <w:bookmarkStart w:id="83" w:name="_Toc13054"/>
      <w:bookmarkStart w:id="84" w:name="_Toc30355"/>
      <w:r>
        <w:rPr>
          <w:rFonts w:hint="eastAsia" w:ascii="宋体" w:hAnsi="宋体" w:cs="宋体"/>
          <w:b/>
          <w:color w:val="auto"/>
          <w:szCs w:val="21"/>
          <w:highlight w:val="none"/>
        </w:rPr>
        <w:t>26.验收</w:t>
      </w:r>
      <w:bookmarkEnd w:id="83"/>
      <w:bookmarkEnd w:id="84"/>
    </w:p>
    <w:p w14:paraId="452B57E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26.1采购人验收时，应成立三人以上验收小组，明确责任，严格依照采购文件、中标通知书、采购合同及相关验收规范进行核对、验收，形成验收结论，并出具书面验收报告。</w:t>
      </w:r>
    </w:p>
    <w:p w14:paraId="2AD7426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26.2涉及安全、消防、环保等其他需要由质检或行业主管部门进行验收的项目，必须邀请相关部门或相关专家参与验收。</w:t>
      </w:r>
    </w:p>
    <w:p w14:paraId="1F1A75CE">
      <w:pPr>
        <w:spacing w:line="440" w:lineRule="exact"/>
        <w:ind w:firstLine="413" w:firstLineChars="196"/>
        <w:outlineLvl w:val="2"/>
        <w:rPr>
          <w:rFonts w:ascii="宋体" w:hAnsi="宋体" w:cs="宋体"/>
          <w:b/>
          <w:color w:val="auto"/>
          <w:szCs w:val="21"/>
          <w:highlight w:val="none"/>
        </w:rPr>
      </w:pPr>
      <w:bookmarkStart w:id="85" w:name="_Toc13934"/>
      <w:bookmarkStart w:id="86" w:name="_Toc27135"/>
      <w:r>
        <w:rPr>
          <w:rFonts w:hint="eastAsia" w:ascii="宋体" w:hAnsi="宋体" w:cs="宋体"/>
          <w:b/>
          <w:color w:val="auto"/>
          <w:szCs w:val="21"/>
          <w:highlight w:val="none"/>
        </w:rPr>
        <w:t>27.质疑</w:t>
      </w:r>
      <w:bookmarkEnd w:id="85"/>
      <w:bookmarkEnd w:id="86"/>
    </w:p>
    <w:p w14:paraId="55262F4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27.1质疑人认为预成交结果使自己的权益受到损害的，可以向采购代理机构提出质疑。质疑实行实名制，应当有具体的事项及根据，不得进行虚假、恶意质疑，扰乱采购的正常工作秩序。</w:t>
      </w:r>
    </w:p>
    <w:p w14:paraId="34EFE57F">
      <w:pPr>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72440FE7">
      <w:pPr>
        <w:spacing w:line="440" w:lineRule="exact"/>
        <w:ind w:firstLine="420" w:firstLineChars="200"/>
        <w:outlineLvl w:val="3"/>
        <w:rPr>
          <w:rFonts w:ascii="宋体" w:hAnsi="宋体" w:cs="宋体"/>
          <w:bCs/>
          <w:color w:val="auto"/>
          <w:szCs w:val="21"/>
          <w:highlight w:val="none"/>
        </w:rPr>
      </w:pPr>
      <w:bookmarkStart w:id="87" w:name="_Toc21699"/>
      <w:bookmarkStart w:id="88" w:name="_Toc7613"/>
      <w:r>
        <w:rPr>
          <w:rFonts w:hint="eastAsia" w:ascii="宋体" w:hAnsi="宋体" w:cs="宋体"/>
          <w:bCs/>
          <w:color w:val="auto"/>
          <w:szCs w:val="21"/>
          <w:highlight w:val="none"/>
        </w:rPr>
        <w:t>27.2质疑应在规定时限内提出：</w:t>
      </w:r>
      <w:bookmarkEnd w:id="87"/>
      <w:bookmarkEnd w:id="88"/>
      <w:r>
        <w:rPr>
          <w:rFonts w:hint="eastAsia" w:ascii="宋体" w:hAnsi="宋体" w:cs="宋体"/>
          <w:bCs/>
          <w:color w:val="auto"/>
          <w:szCs w:val="21"/>
          <w:highlight w:val="none"/>
        </w:rPr>
        <w:t xml:space="preserve"> </w:t>
      </w:r>
    </w:p>
    <w:p w14:paraId="3822F7C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对采购成交结果的质疑，应在成交结果公布之日起七个工作日内提出。</w:t>
      </w:r>
    </w:p>
    <w:p w14:paraId="30890FB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27.3质疑应以书面形式实名提出，书面质疑材料应当包括以下内容：</w:t>
      </w:r>
    </w:p>
    <w:p w14:paraId="152CF20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27.3.1质疑人的名称、地址、有效联系方式；</w:t>
      </w:r>
    </w:p>
    <w:p w14:paraId="784E4E8F">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27.3.2项目名称、项目编号、包别号（如有）；</w:t>
      </w:r>
    </w:p>
    <w:p w14:paraId="6F28B77C">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27.3.3被质疑人名称；</w:t>
      </w:r>
    </w:p>
    <w:p w14:paraId="081413D9">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27.3.4具体的质疑事项、基本事实及必要的证明材料；</w:t>
      </w:r>
    </w:p>
    <w:p w14:paraId="054A32C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27.3.5明确的请求及主张；</w:t>
      </w:r>
    </w:p>
    <w:p w14:paraId="0A8B49C0">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27.3.6提起质疑的日期。</w:t>
      </w:r>
    </w:p>
    <w:p w14:paraId="1C99007A">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质疑人为法人或者其他组织的，应当由</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或其委托代理人（需有委托授权书）签字并加盖公章。</w:t>
      </w:r>
    </w:p>
    <w:p w14:paraId="34B404DD">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质疑人需要修改、补充质疑材料的，应当在质疑期内提交修改或补充材料。</w:t>
      </w:r>
    </w:p>
    <w:p w14:paraId="792B6321">
      <w:pPr>
        <w:spacing w:line="440" w:lineRule="exact"/>
        <w:ind w:firstLine="420" w:firstLineChars="200"/>
        <w:outlineLvl w:val="3"/>
        <w:rPr>
          <w:rFonts w:ascii="宋体" w:hAnsi="宋体" w:cs="宋体"/>
          <w:bCs/>
          <w:color w:val="auto"/>
          <w:szCs w:val="21"/>
          <w:highlight w:val="none"/>
        </w:rPr>
      </w:pPr>
      <w:bookmarkStart w:id="89" w:name="_Toc19439"/>
      <w:bookmarkStart w:id="90" w:name="_Toc11332"/>
      <w:r>
        <w:rPr>
          <w:rFonts w:hint="eastAsia" w:ascii="宋体" w:hAnsi="宋体" w:cs="宋体"/>
          <w:bCs/>
          <w:color w:val="auto"/>
          <w:szCs w:val="21"/>
          <w:highlight w:val="none"/>
        </w:rPr>
        <w:t>27.4有下列情形之一的，不予受理：</w:t>
      </w:r>
      <w:bookmarkEnd w:id="89"/>
      <w:bookmarkEnd w:id="90"/>
    </w:p>
    <w:p w14:paraId="1086E8D2">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.4.1提起质疑的主体不是参与该采购项目活动的供应商；</w:t>
      </w:r>
    </w:p>
    <w:p w14:paraId="229E6F45">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.4.2提起质疑的时间超过规定时限的；</w:t>
      </w:r>
    </w:p>
    <w:p w14:paraId="331F7FA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.4.3质疑材料不完整的；</w:t>
      </w:r>
    </w:p>
    <w:p w14:paraId="5A70545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.4.4质疑事项含有主观猜测等内容且未提供有效线索、难以查证的；</w:t>
      </w:r>
    </w:p>
    <w:p w14:paraId="225FD244">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.4.5对其他供应商的</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详细内容质疑，证据来源无法提供合法来源渠道的；</w:t>
      </w:r>
    </w:p>
    <w:p w14:paraId="5112339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.4.6质疑事项已进入投诉处理、行政复议或行政诉讼程序的。</w:t>
      </w:r>
    </w:p>
    <w:p w14:paraId="4251631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47528D1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27.6质疑人在答复期满前撤回质疑的，应由</w:t>
      </w:r>
      <w:r>
        <w:rPr>
          <w:rFonts w:hint="eastAsia" w:ascii="宋体" w:hAnsi="宋体" w:cs="宋体"/>
          <w:color w:val="auto"/>
          <w:szCs w:val="21"/>
          <w:highlight w:val="none"/>
        </w:rPr>
        <w:t>法定代表人</w:t>
      </w:r>
      <w:r>
        <w:rPr>
          <w:rFonts w:hint="eastAsia" w:ascii="宋体" w:hAnsi="宋体" w:cs="宋体"/>
          <w:bCs/>
          <w:color w:val="auto"/>
          <w:szCs w:val="21"/>
          <w:highlight w:val="none"/>
        </w:rPr>
        <w:t>或授权代表人签字确认，采购代理机构即终止质疑处理程序。质疑人不得以同一理由再次质疑。</w:t>
      </w:r>
    </w:p>
    <w:p w14:paraId="44FCA11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质疑人对质疑答复不满意或某采购代理机构未在规定时间内作出答复的，可以在规定期限内向监督管理部门提起投诉。</w:t>
      </w:r>
    </w:p>
    <w:p w14:paraId="2ABD16D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质疑人应在答复期满后十五个工作日内提起投诉。</w:t>
      </w:r>
    </w:p>
    <w:p w14:paraId="33214ED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27.7质疑人有下列情形之一的，属于虚假、恶意质疑，采购代理机构将报监督管理部门予以处理。</w:t>
      </w:r>
    </w:p>
    <w:p w14:paraId="1FDAF5DC">
      <w:pPr>
        <w:spacing w:line="440" w:lineRule="exact"/>
        <w:ind w:firstLine="420" w:firstLineChars="200"/>
        <w:outlineLvl w:val="4"/>
        <w:rPr>
          <w:rFonts w:ascii="宋体" w:hAnsi="宋体" w:cs="宋体"/>
          <w:bCs/>
          <w:color w:val="auto"/>
          <w:szCs w:val="21"/>
          <w:highlight w:val="none"/>
        </w:rPr>
      </w:pPr>
      <w:r>
        <w:rPr>
          <w:rFonts w:hint="eastAsia" w:ascii="宋体" w:hAnsi="宋体" w:cs="宋体"/>
          <w:bCs/>
          <w:color w:val="auto"/>
          <w:szCs w:val="21"/>
          <w:highlight w:val="none"/>
        </w:rPr>
        <w:t>27.7.1一年内三次以上质疑均查无实据的；</w:t>
      </w:r>
    </w:p>
    <w:p w14:paraId="2E16CBA5">
      <w:pPr>
        <w:spacing w:line="440" w:lineRule="exact"/>
        <w:ind w:firstLine="411" w:firstLineChars="196"/>
        <w:rPr>
          <w:rFonts w:ascii="宋体" w:hAnsi="宋体" w:cs="宋体"/>
          <w:color w:val="auto"/>
          <w:szCs w:val="21"/>
          <w:highlight w:val="none"/>
        </w:rPr>
      </w:pPr>
      <w:r>
        <w:rPr>
          <w:rFonts w:hint="eastAsia" w:ascii="宋体" w:hAnsi="宋体" w:cs="宋体"/>
          <w:bCs/>
          <w:color w:val="auto"/>
          <w:szCs w:val="21"/>
          <w:highlight w:val="none"/>
        </w:rPr>
        <w:t>27.7.2捏造事实恶意诬陷他人、有意提供虚假质疑材料的</w:t>
      </w:r>
      <w:r>
        <w:rPr>
          <w:rFonts w:hint="eastAsia" w:ascii="宋体" w:hAnsi="宋体" w:cs="宋体"/>
          <w:color w:val="auto"/>
          <w:szCs w:val="21"/>
          <w:highlight w:val="none"/>
        </w:rPr>
        <w:t>或者通过非法手段获取材料的。</w:t>
      </w:r>
    </w:p>
    <w:p w14:paraId="3B8F40CC">
      <w:pPr>
        <w:spacing w:line="440" w:lineRule="exact"/>
        <w:ind w:firstLine="413" w:firstLineChars="196"/>
        <w:outlineLvl w:val="2"/>
        <w:rPr>
          <w:rFonts w:ascii="宋体" w:hAnsi="宋体" w:cs="宋体"/>
          <w:b/>
          <w:color w:val="auto"/>
          <w:szCs w:val="21"/>
          <w:highlight w:val="none"/>
        </w:rPr>
      </w:pPr>
      <w:bookmarkStart w:id="91" w:name="_Toc27057"/>
      <w:bookmarkStart w:id="92" w:name="_Toc10755"/>
      <w:r>
        <w:rPr>
          <w:rFonts w:hint="eastAsia" w:ascii="宋体" w:hAnsi="宋体" w:cs="宋体"/>
          <w:b/>
          <w:color w:val="auto"/>
          <w:szCs w:val="21"/>
          <w:highlight w:val="none"/>
        </w:rPr>
        <w:t>28.未尽事宜</w:t>
      </w:r>
      <w:bookmarkEnd w:id="91"/>
      <w:bookmarkEnd w:id="92"/>
    </w:p>
    <w:p w14:paraId="01B5B35F">
      <w:pPr>
        <w:spacing w:line="440" w:lineRule="exact"/>
        <w:ind w:firstLine="420" w:firstLineChars="200"/>
        <w:outlineLvl w:val="3"/>
        <w:rPr>
          <w:rFonts w:ascii="宋体" w:hAnsi="宋体" w:cs="宋体"/>
          <w:color w:val="auto"/>
          <w:szCs w:val="21"/>
          <w:highlight w:val="none"/>
        </w:rPr>
      </w:pPr>
      <w:bookmarkStart w:id="93" w:name="_Toc18168"/>
      <w:bookmarkStart w:id="94" w:name="_Toc4940"/>
      <w:r>
        <w:rPr>
          <w:rFonts w:hint="eastAsia" w:ascii="宋体" w:hAnsi="宋体" w:cs="宋体"/>
          <w:color w:val="auto"/>
          <w:szCs w:val="21"/>
          <w:highlight w:val="none"/>
        </w:rPr>
        <w:t>28.1参照相关法律法规的规定执行。</w:t>
      </w:r>
      <w:bookmarkEnd w:id="93"/>
      <w:bookmarkEnd w:id="94"/>
    </w:p>
    <w:p w14:paraId="32AEEE26">
      <w:pPr>
        <w:spacing w:line="440" w:lineRule="exact"/>
        <w:ind w:firstLine="413" w:firstLineChars="196"/>
        <w:outlineLvl w:val="2"/>
        <w:rPr>
          <w:rFonts w:ascii="宋体" w:hAnsi="宋体" w:cs="宋体"/>
          <w:bCs/>
          <w:color w:val="auto"/>
          <w:szCs w:val="21"/>
          <w:highlight w:val="none"/>
        </w:rPr>
      </w:pPr>
      <w:bookmarkStart w:id="95" w:name="_Toc14073"/>
      <w:bookmarkStart w:id="96" w:name="_Toc10184"/>
      <w:r>
        <w:rPr>
          <w:rFonts w:hint="eastAsia" w:ascii="宋体" w:hAnsi="宋体" w:cs="宋体"/>
          <w:b/>
          <w:color w:val="auto"/>
          <w:szCs w:val="21"/>
          <w:highlight w:val="none"/>
        </w:rPr>
        <w:t>29.解释权</w:t>
      </w:r>
      <w:bookmarkEnd w:id="95"/>
      <w:bookmarkEnd w:id="96"/>
    </w:p>
    <w:p w14:paraId="2B976336">
      <w:pPr>
        <w:spacing w:line="440" w:lineRule="exact"/>
        <w:ind w:firstLine="420" w:firstLineChars="200"/>
        <w:outlineLvl w:val="3"/>
        <w:rPr>
          <w:rFonts w:ascii="宋体" w:hAnsi="宋体" w:cs="宋体"/>
          <w:b/>
          <w:color w:val="auto"/>
          <w:sz w:val="28"/>
          <w:highlight w:val="none"/>
        </w:rPr>
        <w:sectPr>
          <w:footerReference r:id="rId5" w:type="first"/>
          <w:headerReference r:id="rId3" w:type="default"/>
          <w:footerReference r:id="rId4" w:type="default"/>
          <w:pgSz w:w="11906" w:h="16838"/>
          <w:pgMar w:top="1134" w:right="1417" w:bottom="1134" w:left="1417" w:header="850" w:footer="992" w:gutter="0"/>
          <w:pgNumType w:start="1"/>
          <w:cols w:space="720" w:num="1"/>
          <w:docGrid w:type="lines" w:linePitch="312" w:charSpace="0"/>
        </w:sectPr>
      </w:pPr>
      <w:bookmarkStart w:id="97" w:name="_Toc3336"/>
      <w:bookmarkStart w:id="98" w:name="_Toc20892"/>
      <w:r>
        <w:rPr>
          <w:rFonts w:hint="eastAsia" w:ascii="宋体" w:hAnsi="宋体" w:cs="宋体"/>
          <w:bCs/>
          <w:color w:val="auto"/>
          <w:szCs w:val="21"/>
          <w:highlight w:val="none"/>
        </w:rPr>
        <w:t>29.1本采购文件的解释权属于采购人或采购代理机构</w:t>
      </w:r>
      <w:bookmarkEnd w:id="97"/>
      <w:bookmarkEnd w:id="98"/>
    </w:p>
    <w:p w14:paraId="30DB8A6D">
      <w:pPr>
        <w:pageBreakBefore/>
        <w:spacing w:before="162" w:beforeLines="50" w:after="162" w:afterLines="50" w:line="440" w:lineRule="exact"/>
        <w:jc w:val="center"/>
        <w:outlineLvl w:val="1"/>
        <w:rPr>
          <w:rFonts w:ascii="黑体" w:hAnsi="黑体" w:eastAsia="黑体" w:cs="黑体"/>
          <w:b/>
          <w:bCs/>
          <w:color w:val="auto"/>
          <w:sz w:val="32"/>
          <w:szCs w:val="32"/>
          <w:highlight w:val="none"/>
        </w:rPr>
      </w:pPr>
      <w:bookmarkStart w:id="99" w:name="_Toc16257"/>
      <w:bookmarkStart w:id="100" w:name="_Toc469495731"/>
      <w:bookmarkStart w:id="101" w:name="_Toc16681"/>
      <w:bookmarkStart w:id="102" w:name="_Toc759"/>
      <w:r>
        <w:rPr>
          <w:rFonts w:hint="eastAsia" w:ascii="黑体" w:hAnsi="黑体" w:eastAsia="黑体" w:cs="黑体"/>
          <w:b/>
          <w:bCs/>
          <w:color w:val="auto"/>
          <w:sz w:val="32"/>
          <w:szCs w:val="32"/>
          <w:highlight w:val="none"/>
        </w:rPr>
        <w:t>第二章  评标办法</w:t>
      </w:r>
      <w:bookmarkEnd w:id="99"/>
      <w:bookmarkEnd w:id="100"/>
      <w:bookmarkEnd w:id="101"/>
      <w:bookmarkEnd w:id="102"/>
    </w:p>
    <w:p w14:paraId="715A370F">
      <w:pPr>
        <w:spacing w:before="162" w:beforeLines="50" w:after="162" w:afterLines="50" w:line="440" w:lineRule="exact"/>
        <w:jc w:val="center"/>
        <w:outlineLvl w:val="2"/>
        <w:rPr>
          <w:rFonts w:ascii="黑体" w:hAnsi="黑体" w:eastAsia="黑体" w:cs="黑体"/>
          <w:b/>
          <w:color w:val="auto"/>
          <w:sz w:val="28"/>
          <w:szCs w:val="28"/>
          <w:highlight w:val="none"/>
        </w:rPr>
      </w:pPr>
      <w:bookmarkStart w:id="103" w:name="_Toc16128"/>
      <w:bookmarkStart w:id="104" w:name="_Toc4193"/>
      <w:bookmarkStart w:id="105" w:name="_Toc19225"/>
      <w:bookmarkStart w:id="106" w:name="_Toc362983801"/>
      <w:bookmarkStart w:id="107" w:name="_Toc469495732"/>
      <w:bookmarkStart w:id="108" w:name="_Toc267320058"/>
      <w:r>
        <w:rPr>
          <w:rFonts w:hint="eastAsia" w:ascii="黑体" w:hAnsi="黑体" w:eastAsia="黑体" w:cs="黑体"/>
          <w:b/>
          <w:color w:val="auto"/>
          <w:sz w:val="28"/>
          <w:szCs w:val="28"/>
          <w:highlight w:val="none"/>
        </w:rPr>
        <w:t>一  总则</w:t>
      </w:r>
      <w:bookmarkEnd w:id="103"/>
      <w:bookmarkEnd w:id="104"/>
      <w:bookmarkEnd w:id="105"/>
      <w:bookmarkEnd w:id="106"/>
      <w:bookmarkEnd w:id="107"/>
    </w:p>
    <w:p w14:paraId="2CFF34E2">
      <w:pPr>
        <w:spacing w:line="440" w:lineRule="exact"/>
        <w:ind w:firstLine="422" w:firstLineChars="200"/>
        <w:jc w:val="left"/>
        <w:outlineLvl w:val="2"/>
        <w:rPr>
          <w:rFonts w:ascii="黑体" w:hAnsi="黑体" w:eastAsia="黑体" w:cs="黑体"/>
          <w:b/>
          <w:color w:val="auto"/>
          <w:szCs w:val="21"/>
          <w:highlight w:val="none"/>
        </w:rPr>
      </w:pPr>
      <w:bookmarkStart w:id="109" w:name="_Toc12964"/>
      <w:bookmarkStart w:id="110" w:name="_Toc362983802"/>
      <w:bookmarkStart w:id="111" w:name="_Toc469495733"/>
      <w:r>
        <w:rPr>
          <w:rFonts w:hint="eastAsia" w:ascii="黑体" w:hAnsi="黑体" w:eastAsia="黑体" w:cs="黑体"/>
          <w:b/>
          <w:color w:val="auto"/>
          <w:szCs w:val="21"/>
          <w:highlight w:val="none"/>
        </w:rPr>
        <w:t>1. 本次评标采用综合评分法</w:t>
      </w:r>
      <w:bookmarkEnd w:id="109"/>
    </w:p>
    <w:p w14:paraId="559C947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1.1综合评分法是指投标文件满足采购文件全部实质性要求且按照评审因素的量化指标评审总得分从高到低的供应商为中标候选人的评标方法。</w:t>
      </w:r>
    </w:p>
    <w:p w14:paraId="72F7CB2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1.2综合评分法一般适用于较为复杂、评价指标难以量化且价格为非主要因素的非标准定制商品和非通用服务项目的项目评审。</w:t>
      </w:r>
    </w:p>
    <w:p w14:paraId="27398D08">
      <w:pPr>
        <w:spacing w:line="440" w:lineRule="exact"/>
        <w:ind w:firstLine="422" w:firstLineChars="200"/>
        <w:jc w:val="left"/>
        <w:outlineLvl w:val="2"/>
        <w:rPr>
          <w:rFonts w:ascii="黑体" w:hAnsi="黑体" w:eastAsia="黑体" w:cs="黑体"/>
          <w:b/>
          <w:color w:val="auto"/>
          <w:szCs w:val="21"/>
          <w:highlight w:val="none"/>
        </w:rPr>
      </w:pPr>
      <w:bookmarkStart w:id="112" w:name="_Toc23084"/>
      <w:r>
        <w:rPr>
          <w:rFonts w:hint="eastAsia" w:ascii="黑体" w:hAnsi="黑体" w:eastAsia="黑体" w:cs="黑体"/>
          <w:b/>
          <w:color w:val="auto"/>
          <w:szCs w:val="21"/>
          <w:highlight w:val="none"/>
        </w:rPr>
        <w:t>2．评标程序</w:t>
      </w:r>
      <w:bookmarkEnd w:id="112"/>
    </w:p>
    <w:p w14:paraId="65E43B1A">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2.1投标文件的初审</w:t>
      </w:r>
    </w:p>
    <w:p w14:paraId="7FBC54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2.1.1资格性检查。依据法律法规和采购文件的规定，对投标文件中的资格证明、投标保证金等进行审查，以确定投标供应商是否具备投标资格。 </w:t>
      </w:r>
    </w:p>
    <w:p w14:paraId="76FF965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2.1.2符合性检查。依据采购文件的规定，从投标文件的有效性、完整性和对采购文件的响应程度进行审查，以确定投标供应商是否对采购文件的实质性要求作出响应。</w:t>
      </w:r>
    </w:p>
    <w:p w14:paraId="4638539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2.2投标文件的澄清</w:t>
      </w:r>
    </w:p>
    <w:p w14:paraId="79EC822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2.2.1在评标过程中，评标委员会认为需要，可要求投标供应商对投标文件中的有关问题进行澄清或提供补充说明及有关资料，投标供应商应作出答复。答复中不得变更价格、供货期、自报质量等实质性内容。</w:t>
      </w:r>
    </w:p>
    <w:p w14:paraId="014AF7E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2.2.2经投标供应商在系统中做出的有效答复将视为投标文件的组成部分。投标截止时间后，投标供应商对投标报价或其他实质性内容修正的函件和增加的任何优惠条件，一律不得作为评标、定标的依据。</w:t>
      </w:r>
    </w:p>
    <w:p w14:paraId="34142C36">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2.2.3采购人不接受投标供应商主动提出的澄清。</w:t>
      </w:r>
    </w:p>
    <w:p w14:paraId="04F0D350">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2.3比较与评价</w:t>
      </w:r>
    </w:p>
    <w:p w14:paraId="25E74BD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2.3.1按采购文件中规定的评标方法和标准，对资格性检查和符合性检查合格的投标文件进行资信、商务和技术评估，综合比较与评价。 </w:t>
      </w:r>
    </w:p>
    <w:p w14:paraId="35543F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2.4推荐中标候选人名单</w:t>
      </w:r>
    </w:p>
    <w:p w14:paraId="7C036E5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2.4.1中标候选人数量应当根据采购需要确定，但必须按顺序排列中标候选人。</w:t>
      </w:r>
    </w:p>
    <w:p w14:paraId="2AACB9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2.5在投标文件的审查、澄清、评价和比较以及授予合同过程中，投标供应商对采购单位和评标委员会成员施加影响的任何行为，都将导致取消其中标资格。</w:t>
      </w:r>
    </w:p>
    <w:p w14:paraId="3F57A327">
      <w:pPr>
        <w:spacing w:before="162" w:beforeLines="50" w:after="162" w:afterLines="50" w:line="440" w:lineRule="exact"/>
        <w:jc w:val="center"/>
        <w:outlineLvl w:val="2"/>
        <w:rPr>
          <w:rFonts w:ascii="黑体" w:hAnsi="黑体" w:eastAsia="黑体" w:cs="黑体"/>
          <w:b/>
          <w:color w:val="auto"/>
          <w:sz w:val="28"/>
          <w:szCs w:val="28"/>
          <w:highlight w:val="none"/>
        </w:rPr>
      </w:pPr>
      <w:bookmarkStart w:id="113" w:name="_Toc22076"/>
      <w:bookmarkStart w:id="114" w:name="_Toc23006"/>
      <w:bookmarkStart w:id="115" w:name="_Toc15979"/>
      <w:r>
        <w:rPr>
          <w:rFonts w:hint="eastAsia" w:ascii="黑体" w:hAnsi="黑体" w:eastAsia="黑体" w:cs="黑体"/>
          <w:b/>
          <w:color w:val="auto"/>
          <w:sz w:val="28"/>
          <w:szCs w:val="28"/>
          <w:highlight w:val="none"/>
        </w:rPr>
        <w:t>二  投标文件初审</w:t>
      </w:r>
      <w:bookmarkEnd w:id="110"/>
      <w:bookmarkEnd w:id="111"/>
      <w:bookmarkEnd w:id="113"/>
      <w:bookmarkEnd w:id="114"/>
      <w:bookmarkEnd w:id="115"/>
    </w:p>
    <w:p w14:paraId="201AE0D8">
      <w:pPr>
        <w:spacing w:line="440" w:lineRule="exact"/>
        <w:ind w:firstLine="422" w:firstLineChars="200"/>
        <w:jc w:val="left"/>
        <w:outlineLvl w:val="2"/>
        <w:rPr>
          <w:rFonts w:ascii="黑体" w:hAnsi="黑体" w:eastAsia="黑体" w:cs="黑体"/>
          <w:b/>
          <w:color w:val="auto"/>
          <w:szCs w:val="21"/>
          <w:highlight w:val="none"/>
        </w:rPr>
      </w:pPr>
      <w:bookmarkStart w:id="116" w:name="_Toc6807"/>
      <w:r>
        <w:rPr>
          <w:rFonts w:hint="eastAsia" w:ascii="黑体" w:hAnsi="黑体" w:eastAsia="黑体" w:cs="黑体"/>
          <w:b/>
          <w:color w:val="auto"/>
          <w:szCs w:val="21"/>
          <w:highlight w:val="none"/>
        </w:rPr>
        <w:t>3.资格性审查：</w:t>
      </w:r>
      <w:bookmarkEnd w:id="116"/>
    </w:p>
    <w:p w14:paraId="4230717F">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3.1评审细则</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3"/>
        <w:gridCol w:w="3399"/>
        <w:gridCol w:w="4533"/>
      </w:tblGrid>
      <w:tr w14:paraId="6734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vAlign w:val="center"/>
          </w:tcPr>
          <w:p w14:paraId="577EE35C">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632" w:type="dxa"/>
            <w:gridSpan w:val="2"/>
            <w:vAlign w:val="center"/>
          </w:tcPr>
          <w:p w14:paraId="39E5328A">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评审因素</w:t>
            </w:r>
          </w:p>
        </w:tc>
        <w:tc>
          <w:tcPr>
            <w:tcW w:w="4533" w:type="dxa"/>
            <w:vAlign w:val="center"/>
          </w:tcPr>
          <w:p w14:paraId="28D0A41D">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评审标准</w:t>
            </w:r>
          </w:p>
        </w:tc>
      </w:tr>
      <w:tr w14:paraId="292C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13" w:type="dxa"/>
            <w:vAlign w:val="center"/>
          </w:tcPr>
          <w:p w14:paraId="69F9989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3" w:type="dxa"/>
            <w:vAlign w:val="center"/>
          </w:tcPr>
          <w:p w14:paraId="276047F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重要要求</w:t>
            </w:r>
          </w:p>
        </w:tc>
        <w:tc>
          <w:tcPr>
            <w:tcW w:w="3399" w:type="dxa"/>
            <w:vAlign w:val="center"/>
          </w:tcPr>
          <w:p w14:paraId="33B526B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533" w:type="dxa"/>
            <w:vAlign w:val="center"/>
          </w:tcPr>
          <w:p w14:paraId="479B3AD5">
            <w:pPr>
              <w:spacing w:line="440" w:lineRule="exact"/>
              <w:rPr>
                <w:rFonts w:ascii="宋体" w:hAnsi="宋体" w:cs="宋体"/>
                <w:color w:val="auto"/>
                <w:szCs w:val="21"/>
                <w:highlight w:val="none"/>
              </w:rPr>
            </w:pPr>
            <w:r>
              <w:rPr>
                <w:rFonts w:hint="eastAsia" w:ascii="宋体" w:hAnsi="宋体" w:cs="宋体"/>
                <w:color w:val="auto"/>
                <w:szCs w:val="21"/>
                <w:highlight w:val="none"/>
              </w:rPr>
              <w:t>现场核对原件</w:t>
            </w:r>
          </w:p>
        </w:tc>
      </w:tr>
      <w:tr w14:paraId="30BE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restart"/>
            <w:vAlign w:val="center"/>
          </w:tcPr>
          <w:p w14:paraId="3926A70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3" w:type="dxa"/>
            <w:vMerge w:val="restart"/>
            <w:vAlign w:val="center"/>
          </w:tcPr>
          <w:p w14:paraId="1AE3B96D">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投标供应商应符合的基本资格条件</w:t>
            </w:r>
          </w:p>
        </w:tc>
        <w:tc>
          <w:tcPr>
            <w:tcW w:w="3399" w:type="dxa"/>
            <w:vAlign w:val="center"/>
          </w:tcPr>
          <w:p w14:paraId="2D4D4F4F">
            <w:pPr>
              <w:spacing w:line="440" w:lineRule="exact"/>
              <w:rPr>
                <w:rFonts w:ascii="宋体" w:hAnsi="宋体" w:cs="宋体"/>
                <w:color w:val="auto"/>
                <w:szCs w:val="21"/>
                <w:highlight w:val="none"/>
              </w:rPr>
            </w:pPr>
            <w:r>
              <w:rPr>
                <w:rFonts w:hint="eastAsia" w:ascii="宋体" w:hAnsi="宋体" w:cs="宋体"/>
                <w:color w:val="auto"/>
                <w:szCs w:val="21"/>
                <w:highlight w:val="none"/>
              </w:rPr>
              <w:t>（2）具有承担民事责任的能力</w:t>
            </w:r>
          </w:p>
        </w:tc>
        <w:tc>
          <w:tcPr>
            <w:tcW w:w="4533" w:type="dxa"/>
            <w:vAlign w:val="center"/>
          </w:tcPr>
          <w:p w14:paraId="09E852D5">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投标供应商有效的营业执照 （或三证合一的有效证件）</w:t>
            </w:r>
            <w:r>
              <w:rPr>
                <w:rFonts w:hint="eastAsia" w:ascii="宋体" w:hAnsi="宋体" w:cs="宋体"/>
                <w:b/>
                <w:bCs/>
                <w:color w:val="auto"/>
                <w:szCs w:val="21"/>
                <w:highlight w:val="none"/>
              </w:rPr>
              <w:t xml:space="preserve">复印件加盖公章 </w:t>
            </w:r>
          </w:p>
        </w:tc>
      </w:tr>
      <w:tr w14:paraId="777A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vMerge w:val="continue"/>
            <w:vAlign w:val="center"/>
          </w:tcPr>
          <w:p w14:paraId="5D104BDF">
            <w:pPr>
              <w:spacing w:line="440" w:lineRule="exact"/>
              <w:jc w:val="center"/>
              <w:rPr>
                <w:rFonts w:ascii="宋体" w:hAnsi="宋体" w:cs="宋体"/>
                <w:color w:val="auto"/>
                <w:szCs w:val="21"/>
                <w:highlight w:val="none"/>
              </w:rPr>
            </w:pPr>
          </w:p>
        </w:tc>
        <w:tc>
          <w:tcPr>
            <w:tcW w:w="1233" w:type="dxa"/>
            <w:vMerge w:val="continue"/>
            <w:vAlign w:val="center"/>
          </w:tcPr>
          <w:p w14:paraId="553BA15F">
            <w:pPr>
              <w:spacing w:line="440" w:lineRule="exact"/>
              <w:rPr>
                <w:rFonts w:ascii="宋体" w:hAnsi="宋体" w:cs="宋体"/>
                <w:color w:val="auto"/>
                <w:szCs w:val="21"/>
                <w:highlight w:val="none"/>
              </w:rPr>
            </w:pPr>
          </w:p>
        </w:tc>
        <w:tc>
          <w:tcPr>
            <w:tcW w:w="3399" w:type="dxa"/>
            <w:vAlign w:val="center"/>
          </w:tcPr>
          <w:p w14:paraId="6BAAA0E9">
            <w:pPr>
              <w:spacing w:line="44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）诚信投标承诺书</w:t>
            </w:r>
          </w:p>
        </w:tc>
        <w:tc>
          <w:tcPr>
            <w:tcW w:w="4533" w:type="dxa"/>
            <w:vAlign w:val="center"/>
          </w:tcPr>
          <w:p w14:paraId="0BEBFDF6">
            <w:pPr>
              <w:spacing w:line="440" w:lineRule="exact"/>
              <w:rPr>
                <w:rFonts w:ascii="宋体" w:hAnsi="宋体" w:cs="宋体"/>
                <w:color w:val="auto"/>
                <w:szCs w:val="21"/>
                <w:highlight w:val="none"/>
              </w:rPr>
            </w:pPr>
            <w:r>
              <w:rPr>
                <w:rFonts w:hint="eastAsia" w:ascii="宋体" w:hAnsi="宋体" w:cs="宋体"/>
                <w:color w:val="auto"/>
                <w:szCs w:val="21"/>
                <w:highlight w:val="none"/>
              </w:rPr>
              <w:t>核验投标文件</w:t>
            </w:r>
          </w:p>
        </w:tc>
      </w:tr>
    </w:tbl>
    <w:p w14:paraId="33C600EE">
      <w:pPr>
        <w:widowControl/>
        <w:spacing w:line="440" w:lineRule="exact"/>
        <w:ind w:firstLine="422" w:firstLineChars="200"/>
        <w:textAlignment w:val="baseline"/>
        <w:rPr>
          <w:rFonts w:ascii="宋体" w:hAnsi="宋体" w:cs="宋体"/>
          <w:b/>
          <w:bCs/>
          <w:color w:val="auto"/>
          <w:kern w:val="0"/>
          <w:szCs w:val="21"/>
          <w:highlight w:val="none"/>
          <w:u w:color="000000"/>
        </w:rPr>
      </w:pPr>
      <w:r>
        <w:rPr>
          <w:rFonts w:hint="eastAsia" w:ascii="宋体" w:hAnsi="宋体" w:cs="宋体"/>
          <w:b/>
          <w:bCs/>
          <w:color w:val="auto"/>
          <w:kern w:val="0"/>
          <w:szCs w:val="21"/>
          <w:highlight w:val="none"/>
          <w:u w:color="000000"/>
        </w:rPr>
        <w:t>以上要求提供的证件复印件或通过公证的公证件复印件按顺序装订成册加盖公章并密封于“投标书一”的密封袋内。投标供应商所提交的资信证明文件必须完整，否则将导致无效投标。</w:t>
      </w:r>
    </w:p>
    <w:p w14:paraId="4E1E8101">
      <w:pPr>
        <w:spacing w:line="440" w:lineRule="exact"/>
        <w:ind w:firstLine="422" w:firstLineChars="200"/>
        <w:outlineLvl w:val="2"/>
        <w:rPr>
          <w:rFonts w:ascii="黑体" w:hAnsi="黑体" w:eastAsia="黑体" w:cs="黑体"/>
          <w:b/>
          <w:color w:val="auto"/>
          <w:szCs w:val="21"/>
          <w:highlight w:val="none"/>
        </w:rPr>
      </w:pPr>
      <w:bookmarkStart w:id="117" w:name="_Toc24327"/>
      <w:r>
        <w:rPr>
          <w:rFonts w:hint="eastAsia" w:ascii="黑体" w:hAnsi="黑体" w:eastAsia="黑体" w:cs="黑体"/>
          <w:b/>
          <w:color w:val="auto"/>
          <w:szCs w:val="21"/>
          <w:highlight w:val="none"/>
        </w:rPr>
        <w:t>4.符合性审查</w:t>
      </w:r>
      <w:bookmarkEnd w:id="117"/>
    </w:p>
    <w:p w14:paraId="0347D557">
      <w:pPr>
        <w:spacing w:line="440" w:lineRule="exact"/>
        <w:ind w:firstLine="420" w:firstLineChars="200"/>
        <w:outlineLvl w:val="3"/>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1评审细则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23FC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14:paraId="75D01324">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135" w:type="dxa"/>
            <w:gridSpan w:val="2"/>
            <w:vAlign w:val="center"/>
          </w:tcPr>
          <w:p w14:paraId="4A7B302F">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审查因素</w:t>
            </w:r>
          </w:p>
        </w:tc>
        <w:tc>
          <w:tcPr>
            <w:tcW w:w="5024" w:type="dxa"/>
            <w:vAlign w:val="center"/>
          </w:tcPr>
          <w:p w14:paraId="72F45F67">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审查内容</w:t>
            </w:r>
          </w:p>
        </w:tc>
      </w:tr>
      <w:tr w14:paraId="5CDA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vAlign w:val="center"/>
          </w:tcPr>
          <w:p w14:paraId="3573E37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vAlign w:val="center"/>
          </w:tcPr>
          <w:p w14:paraId="39E9504D">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标书的有效性</w:t>
            </w:r>
          </w:p>
        </w:tc>
        <w:tc>
          <w:tcPr>
            <w:tcW w:w="2931" w:type="dxa"/>
            <w:vAlign w:val="center"/>
          </w:tcPr>
          <w:p w14:paraId="46BA632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5024" w:type="dxa"/>
            <w:vAlign w:val="center"/>
          </w:tcPr>
          <w:p w14:paraId="777BA0F1">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580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vAlign w:val="center"/>
          </w:tcPr>
          <w:p w14:paraId="3A8E71B9">
            <w:pPr>
              <w:spacing w:line="440" w:lineRule="exact"/>
              <w:jc w:val="center"/>
              <w:rPr>
                <w:rFonts w:ascii="宋体" w:hAnsi="宋体" w:cs="宋体"/>
                <w:color w:val="auto"/>
                <w:szCs w:val="21"/>
                <w:highlight w:val="none"/>
              </w:rPr>
            </w:pPr>
          </w:p>
        </w:tc>
        <w:tc>
          <w:tcPr>
            <w:tcW w:w="1204" w:type="dxa"/>
            <w:vMerge w:val="continue"/>
            <w:vAlign w:val="center"/>
          </w:tcPr>
          <w:p w14:paraId="05ADA778">
            <w:pPr>
              <w:spacing w:line="440" w:lineRule="exact"/>
              <w:jc w:val="center"/>
              <w:rPr>
                <w:rFonts w:ascii="宋体" w:hAnsi="宋体" w:cs="宋体"/>
                <w:color w:val="auto"/>
                <w:szCs w:val="21"/>
                <w:highlight w:val="none"/>
              </w:rPr>
            </w:pPr>
          </w:p>
        </w:tc>
        <w:tc>
          <w:tcPr>
            <w:tcW w:w="2931" w:type="dxa"/>
            <w:vAlign w:val="center"/>
          </w:tcPr>
          <w:p w14:paraId="71FE513A">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5024" w:type="dxa"/>
            <w:vAlign w:val="center"/>
          </w:tcPr>
          <w:p w14:paraId="447F0579">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035F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14:paraId="562C1606">
            <w:pPr>
              <w:spacing w:line="440" w:lineRule="exact"/>
              <w:jc w:val="center"/>
              <w:rPr>
                <w:rFonts w:ascii="宋体" w:hAnsi="宋体" w:cs="宋体"/>
                <w:color w:val="auto"/>
                <w:szCs w:val="21"/>
                <w:highlight w:val="none"/>
              </w:rPr>
            </w:pPr>
          </w:p>
        </w:tc>
        <w:tc>
          <w:tcPr>
            <w:tcW w:w="1204" w:type="dxa"/>
            <w:vMerge w:val="continue"/>
            <w:vAlign w:val="center"/>
          </w:tcPr>
          <w:p w14:paraId="7455CFD9">
            <w:pPr>
              <w:spacing w:line="440" w:lineRule="exact"/>
              <w:jc w:val="center"/>
              <w:rPr>
                <w:rFonts w:ascii="宋体" w:hAnsi="宋体" w:cs="宋体"/>
                <w:color w:val="auto"/>
                <w:szCs w:val="21"/>
                <w:highlight w:val="none"/>
              </w:rPr>
            </w:pPr>
          </w:p>
        </w:tc>
        <w:tc>
          <w:tcPr>
            <w:tcW w:w="2931" w:type="dxa"/>
            <w:vAlign w:val="center"/>
          </w:tcPr>
          <w:p w14:paraId="1B13B8B6">
            <w:pPr>
              <w:spacing w:line="440" w:lineRule="exact"/>
              <w:rPr>
                <w:rFonts w:ascii="宋体" w:hAnsi="宋体" w:cs="宋体"/>
                <w:color w:val="auto"/>
                <w:szCs w:val="21"/>
                <w:highlight w:val="none"/>
                <w:lang w:val="zh-CN"/>
              </w:rPr>
            </w:pPr>
            <w:r>
              <w:rPr>
                <w:rFonts w:hint="eastAsia" w:ascii="宋体" w:hAnsi="宋体" w:cs="宋体"/>
                <w:color w:val="auto"/>
                <w:szCs w:val="21"/>
                <w:highlight w:val="none"/>
              </w:rPr>
              <w:t>（3）报价唯一</w:t>
            </w:r>
          </w:p>
        </w:tc>
        <w:tc>
          <w:tcPr>
            <w:tcW w:w="5024" w:type="dxa"/>
            <w:vAlign w:val="center"/>
          </w:tcPr>
          <w:p w14:paraId="5EA1E1C7">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4166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vAlign w:val="center"/>
          </w:tcPr>
          <w:p w14:paraId="7E70AD99">
            <w:pPr>
              <w:spacing w:line="440" w:lineRule="exact"/>
              <w:jc w:val="center"/>
              <w:rPr>
                <w:rFonts w:ascii="宋体" w:hAnsi="宋体" w:cs="宋体"/>
                <w:color w:val="auto"/>
                <w:szCs w:val="21"/>
                <w:highlight w:val="none"/>
              </w:rPr>
            </w:pPr>
          </w:p>
        </w:tc>
        <w:tc>
          <w:tcPr>
            <w:tcW w:w="1204" w:type="dxa"/>
            <w:vMerge w:val="continue"/>
            <w:vAlign w:val="center"/>
          </w:tcPr>
          <w:p w14:paraId="43C0BF5E">
            <w:pPr>
              <w:spacing w:line="440" w:lineRule="exact"/>
              <w:jc w:val="center"/>
              <w:rPr>
                <w:rFonts w:ascii="宋体" w:hAnsi="宋体" w:cs="宋体"/>
                <w:color w:val="auto"/>
                <w:szCs w:val="21"/>
                <w:highlight w:val="none"/>
              </w:rPr>
            </w:pPr>
          </w:p>
        </w:tc>
        <w:tc>
          <w:tcPr>
            <w:tcW w:w="2931" w:type="dxa"/>
            <w:vAlign w:val="center"/>
          </w:tcPr>
          <w:p w14:paraId="547A4B7E">
            <w:pPr>
              <w:spacing w:line="440" w:lineRule="exact"/>
              <w:rPr>
                <w:rFonts w:ascii="宋体" w:hAnsi="宋体" w:cs="宋体"/>
                <w:color w:val="auto"/>
                <w:szCs w:val="21"/>
                <w:highlight w:val="none"/>
              </w:rPr>
            </w:pPr>
            <w:r>
              <w:rPr>
                <w:rFonts w:hint="eastAsia" w:ascii="宋体" w:hAnsi="宋体" w:cs="宋体"/>
                <w:color w:val="auto"/>
                <w:szCs w:val="21"/>
                <w:highlight w:val="none"/>
              </w:rPr>
              <w:t>（4）投标文件的有效期</w:t>
            </w:r>
          </w:p>
        </w:tc>
        <w:tc>
          <w:tcPr>
            <w:tcW w:w="5024" w:type="dxa"/>
            <w:vAlign w:val="center"/>
          </w:tcPr>
          <w:p w14:paraId="72AF1283">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3F96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14:paraId="061E2E5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vAlign w:val="center"/>
          </w:tcPr>
          <w:p w14:paraId="4EE49938">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标书的完整性</w:t>
            </w:r>
          </w:p>
        </w:tc>
        <w:tc>
          <w:tcPr>
            <w:tcW w:w="2931" w:type="dxa"/>
            <w:vAlign w:val="center"/>
          </w:tcPr>
          <w:p w14:paraId="32D6DC7A">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5024" w:type="dxa"/>
            <w:vAlign w:val="center"/>
          </w:tcPr>
          <w:p w14:paraId="77D4F3B5">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执行采购文件要求</w:t>
            </w:r>
          </w:p>
        </w:tc>
      </w:tr>
      <w:tr w14:paraId="5173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vAlign w:val="center"/>
          </w:tcPr>
          <w:p w14:paraId="060FECBD">
            <w:pPr>
              <w:spacing w:line="440" w:lineRule="exact"/>
              <w:jc w:val="center"/>
              <w:rPr>
                <w:rFonts w:ascii="宋体" w:hAnsi="宋体" w:cs="宋体"/>
                <w:color w:val="auto"/>
                <w:szCs w:val="21"/>
                <w:highlight w:val="none"/>
              </w:rPr>
            </w:pPr>
          </w:p>
        </w:tc>
        <w:tc>
          <w:tcPr>
            <w:tcW w:w="1204" w:type="dxa"/>
            <w:vMerge w:val="continue"/>
            <w:vAlign w:val="center"/>
          </w:tcPr>
          <w:p w14:paraId="2BF9D2B2">
            <w:pPr>
              <w:spacing w:line="440" w:lineRule="exact"/>
              <w:jc w:val="center"/>
              <w:rPr>
                <w:rFonts w:ascii="宋体" w:hAnsi="宋体" w:cs="宋体"/>
                <w:color w:val="auto"/>
                <w:szCs w:val="21"/>
                <w:highlight w:val="none"/>
              </w:rPr>
            </w:pPr>
          </w:p>
        </w:tc>
        <w:tc>
          <w:tcPr>
            <w:tcW w:w="2931" w:type="dxa"/>
            <w:vAlign w:val="center"/>
          </w:tcPr>
          <w:p w14:paraId="2A14CDCF">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5024" w:type="dxa"/>
            <w:vAlign w:val="center"/>
          </w:tcPr>
          <w:p w14:paraId="7B283B3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1BE9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vAlign w:val="center"/>
          </w:tcPr>
          <w:p w14:paraId="5B11CEE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vAlign w:val="center"/>
          </w:tcPr>
          <w:p w14:paraId="553B059A">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标书的响应程度</w:t>
            </w:r>
          </w:p>
        </w:tc>
        <w:tc>
          <w:tcPr>
            <w:tcW w:w="2931" w:type="dxa"/>
            <w:vAlign w:val="center"/>
          </w:tcPr>
          <w:p w14:paraId="5452B9B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（7）技术参数响应程度</w:t>
            </w:r>
          </w:p>
        </w:tc>
        <w:tc>
          <w:tcPr>
            <w:tcW w:w="5024" w:type="dxa"/>
            <w:vAlign w:val="center"/>
          </w:tcPr>
          <w:p w14:paraId="04AA7F7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执行采购文件要求</w:t>
            </w:r>
          </w:p>
        </w:tc>
      </w:tr>
      <w:tr w14:paraId="6136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14:paraId="6C3DAFBC">
            <w:pPr>
              <w:spacing w:line="440" w:lineRule="exact"/>
              <w:rPr>
                <w:rFonts w:ascii="宋体" w:hAnsi="宋体" w:cs="宋体"/>
                <w:color w:val="auto"/>
                <w:szCs w:val="21"/>
                <w:highlight w:val="none"/>
              </w:rPr>
            </w:pPr>
          </w:p>
        </w:tc>
        <w:tc>
          <w:tcPr>
            <w:tcW w:w="1204" w:type="dxa"/>
            <w:vMerge w:val="continue"/>
            <w:vAlign w:val="center"/>
          </w:tcPr>
          <w:p w14:paraId="158BBAB5">
            <w:pPr>
              <w:spacing w:line="440" w:lineRule="exact"/>
              <w:rPr>
                <w:rFonts w:ascii="宋体" w:hAnsi="宋体" w:cs="宋体"/>
                <w:color w:val="auto"/>
                <w:szCs w:val="21"/>
                <w:highlight w:val="none"/>
              </w:rPr>
            </w:pPr>
          </w:p>
        </w:tc>
        <w:tc>
          <w:tcPr>
            <w:tcW w:w="2931" w:type="dxa"/>
            <w:vAlign w:val="center"/>
          </w:tcPr>
          <w:p w14:paraId="2C866B86">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5024" w:type="dxa"/>
            <w:vAlign w:val="center"/>
          </w:tcPr>
          <w:p w14:paraId="3BD7CF3E">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完全响应或优于采购文件要求</w:t>
            </w:r>
          </w:p>
        </w:tc>
      </w:tr>
    </w:tbl>
    <w:p w14:paraId="7C8E9EC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4.2评委会判定投标文件的响应性只根据投标文件本身的内容，而不寻求外部的证据，但投标有不真实不正确的内容时除外。</w:t>
      </w:r>
    </w:p>
    <w:p w14:paraId="066E5BD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4.3如果投标文件实质上没有响应采购文件的要求，评委会将予以拒绝，投标供应商不得通过修正或撤销不符合要求的偏离或保留，而使其投标成为实质上响应的投标。</w:t>
      </w:r>
    </w:p>
    <w:p w14:paraId="52C6F4D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4.4投标供应商可在现场20分钟内对评标委员会的评审结论提出异议，评标委员会根据采购文件及有关规定对投标供应商的异议进行复议。</w:t>
      </w:r>
    </w:p>
    <w:p w14:paraId="35ABC7D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4.5只有通过初审的投标供应商才能进入下一步评标程序。</w:t>
      </w:r>
    </w:p>
    <w:p w14:paraId="1A1ED7AE">
      <w:pPr>
        <w:spacing w:before="162" w:beforeLines="50" w:after="162" w:afterLines="50" w:line="440" w:lineRule="exact"/>
        <w:jc w:val="center"/>
        <w:outlineLvl w:val="4"/>
        <w:rPr>
          <w:rFonts w:ascii="黑体" w:hAnsi="黑体" w:eastAsia="黑体" w:cs="黑体"/>
          <w:b/>
          <w:color w:val="auto"/>
          <w:sz w:val="28"/>
          <w:szCs w:val="28"/>
          <w:highlight w:val="none"/>
        </w:rPr>
      </w:pPr>
      <w:bookmarkStart w:id="118" w:name="_Toc362983803"/>
      <w:bookmarkStart w:id="119" w:name="_Toc469495734"/>
      <w:bookmarkStart w:id="120" w:name="_Toc8811"/>
      <w:bookmarkStart w:id="121" w:name="_Toc20667"/>
      <w:r>
        <w:rPr>
          <w:rFonts w:hint="eastAsia" w:ascii="黑体" w:hAnsi="黑体" w:eastAsia="黑体" w:cs="黑体"/>
          <w:b/>
          <w:color w:val="auto"/>
          <w:sz w:val="28"/>
          <w:szCs w:val="28"/>
          <w:highlight w:val="none"/>
        </w:rPr>
        <w:t>三  投标文件的澄清和补正</w:t>
      </w:r>
      <w:bookmarkEnd w:id="118"/>
      <w:bookmarkEnd w:id="119"/>
      <w:bookmarkEnd w:id="120"/>
      <w:bookmarkEnd w:id="121"/>
    </w:p>
    <w:p w14:paraId="2C44EDC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评审阶段，评委可能会要求有关投标供应商就其投标书中含义不明确、同类问题表述不一致或者有明显文字和计算错误的内容进行澄清。投标供应商必须在规定时间内进行回复，否则将视为放弃回复。请投标供应商及时关注系统。</w:t>
      </w:r>
    </w:p>
    <w:p w14:paraId="6B61B9C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5.2评委会修正错误的原则：</w:t>
      </w:r>
    </w:p>
    <w:p w14:paraId="1F21487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5.2.1如果数字表示的金额和用文字表示的金额不一致时，以文字表示的金额为准；当货物服务报价表、投标函的总报价与开标一览表不一致时，以开标一览表为准。</w:t>
      </w:r>
    </w:p>
    <w:p w14:paraId="5AE594D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5.2.2如果单价与数量的乘积和总价不一致，以单价为准，修正总价及开标一览表；当单价小数点有明显的错位时，评委会将以总价为准，并修正其单价。</w:t>
      </w:r>
    </w:p>
    <w:p w14:paraId="348B918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5.3评委会将按上述修正错误的方法调整投标文件中的投标报价，调整后的价格应对投标供应商具有约束力。无论投标供应商是接受或是拒绝调整后的价格，都应当由投标供应商进行有效确认。投标供应商拒绝对投标文件出现的错漏按上述原则进行修正、澄清、说明，评标委员会应当否决其投标。</w:t>
      </w:r>
      <w:bookmarkStart w:id="122" w:name="_Toc469495735"/>
    </w:p>
    <w:bookmarkEnd w:id="122"/>
    <w:p w14:paraId="695B0CA9">
      <w:pPr>
        <w:widowControl/>
        <w:spacing w:before="162" w:beforeLines="50" w:after="162" w:afterLines="50" w:line="440" w:lineRule="exact"/>
        <w:jc w:val="center"/>
        <w:outlineLvl w:val="4"/>
        <w:rPr>
          <w:rFonts w:ascii="黑体" w:hAnsi="黑体" w:eastAsia="黑体" w:cs="黑体"/>
          <w:b/>
          <w:color w:val="auto"/>
          <w:sz w:val="28"/>
          <w:szCs w:val="28"/>
          <w:highlight w:val="none"/>
        </w:rPr>
      </w:pPr>
      <w:bookmarkStart w:id="123" w:name="_Toc6932"/>
      <w:bookmarkStart w:id="124" w:name="_Toc27786"/>
      <w:bookmarkStart w:id="125" w:name="_Toc362983805"/>
      <w:bookmarkStart w:id="126" w:name="_Toc23516"/>
      <w:bookmarkStart w:id="127" w:name="_Toc469495736"/>
      <w:bookmarkStart w:id="128" w:name="_Toc29803"/>
      <w:r>
        <w:rPr>
          <w:rFonts w:hint="eastAsia" w:ascii="黑体" w:hAnsi="黑体" w:eastAsia="黑体" w:cs="黑体"/>
          <w:b/>
          <w:color w:val="auto"/>
          <w:sz w:val="28"/>
          <w:szCs w:val="28"/>
          <w:highlight w:val="none"/>
        </w:rPr>
        <w:t xml:space="preserve">四 </w:t>
      </w:r>
      <w:r>
        <w:rPr>
          <w:rFonts w:ascii="黑体" w:hAnsi="黑体" w:eastAsia="黑体" w:cs="黑体"/>
          <w:b/>
          <w:color w:val="auto"/>
          <w:sz w:val="28"/>
          <w:szCs w:val="28"/>
          <w:highlight w:val="none"/>
        </w:rPr>
        <w:t xml:space="preserve"> </w:t>
      </w:r>
      <w:r>
        <w:rPr>
          <w:rFonts w:hint="eastAsia" w:ascii="黑体" w:hAnsi="黑体" w:eastAsia="黑体" w:cs="黑体"/>
          <w:b/>
          <w:color w:val="auto"/>
          <w:sz w:val="28"/>
          <w:szCs w:val="28"/>
          <w:highlight w:val="none"/>
        </w:rPr>
        <w:t>比较与评价</w:t>
      </w:r>
      <w:bookmarkEnd w:id="123"/>
      <w:bookmarkEnd w:id="124"/>
    </w:p>
    <w:p w14:paraId="65018BB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6.详细评审即按采购文件中规定的评标方法和标准，评标委员会将对通过初审的投标文件，进行技术和商务部分评估、综合比较与评价。</w:t>
      </w:r>
    </w:p>
    <w:p w14:paraId="07597034">
      <w:pPr>
        <w:pStyle w:val="57"/>
        <w:spacing w:line="440" w:lineRule="exact"/>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6.1资信评审细则（</w:t>
      </w:r>
      <w:r>
        <w:rPr>
          <w:rFonts w:hint="eastAsia" w:ascii="宋体" w:hAnsi="宋体" w:cs="宋体"/>
          <w:b/>
          <w:bCs/>
          <w:color w:val="auto"/>
          <w:sz w:val="21"/>
          <w:szCs w:val="21"/>
          <w:highlight w:val="none"/>
          <w:lang w:val="en-US" w:eastAsia="zh-CN"/>
        </w:rPr>
        <w:t>14</w:t>
      </w:r>
      <w:r>
        <w:rPr>
          <w:rFonts w:hint="eastAsia" w:ascii="宋体" w:hAnsi="宋体" w:cs="宋体"/>
          <w:b/>
          <w:bCs/>
          <w:color w:val="auto"/>
          <w:sz w:val="21"/>
          <w:szCs w:val="21"/>
          <w:highlight w:val="none"/>
        </w:rPr>
        <w:t>分）</w:t>
      </w:r>
      <w:r>
        <w:rPr>
          <w:rFonts w:ascii="宋体" w:hAnsi="宋体" w:cs="宋体"/>
          <w:color w:val="auto"/>
          <w:sz w:val="21"/>
          <w:szCs w:val="21"/>
          <w:highlight w:val="none"/>
        </w:rPr>
        <w:t xml:space="preserve"> </w:t>
      </w:r>
    </w:p>
    <w:tbl>
      <w:tblPr>
        <w:tblStyle w:val="2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7661"/>
      </w:tblGrid>
      <w:tr w14:paraId="5886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22" w:type="dxa"/>
            <w:vAlign w:val="center"/>
          </w:tcPr>
          <w:p w14:paraId="0D323F61">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序号</w:t>
            </w:r>
          </w:p>
        </w:tc>
        <w:tc>
          <w:tcPr>
            <w:tcW w:w="1486" w:type="dxa"/>
            <w:vAlign w:val="center"/>
          </w:tcPr>
          <w:p w14:paraId="5BB62076">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sz w:val="21"/>
                <w:szCs w:val="21"/>
                <w:highlight w:val="none"/>
              </w:rPr>
              <w:t>评分因素</w:t>
            </w:r>
          </w:p>
        </w:tc>
        <w:tc>
          <w:tcPr>
            <w:tcW w:w="7661" w:type="dxa"/>
            <w:vAlign w:val="center"/>
          </w:tcPr>
          <w:p w14:paraId="75083FDB">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评审细则</w:t>
            </w:r>
          </w:p>
        </w:tc>
      </w:tr>
      <w:tr w14:paraId="31FD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2" w:type="dxa"/>
            <w:vAlign w:val="center"/>
          </w:tcPr>
          <w:p w14:paraId="4252F447">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86" w:type="dxa"/>
            <w:vAlign w:val="center"/>
          </w:tcPr>
          <w:p w14:paraId="5FED2F3E">
            <w:pPr>
              <w:spacing w:line="5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投标人业绩</w:t>
            </w:r>
          </w:p>
          <w:p w14:paraId="4BE8BC61">
            <w:pPr>
              <w:spacing w:line="5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w:t>
            </w:r>
          </w:p>
        </w:tc>
        <w:tc>
          <w:tcPr>
            <w:tcW w:w="7661" w:type="dxa"/>
            <w:vAlign w:val="center"/>
          </w:tcPr>
          <w:p w14:paraId="55528B85">
            <w:pPr>
              <w:spacing w:line="500" w:lineRule="exact"/>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自2021年1月1日以来（时间以合同签订时间为准），投标人具有监控安防产品的供货安装业绩的，每提供一份业绩得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zh-CN"/>
              </w:rPr>
              <w:t>分，满分</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zh-CN"/>
              </w:rPr>
              <w:t>分。</w:t>
            </w:r>
          </w:p>
          <w:p w14:paraId="12068E47">
            <w:pPr>
              <w:spacing w:line="500" w:lineRule="exact"/>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注：投标文件中提供合同扫描件，如上述材料无法体现供货内容、合同签订时间等评审内容的，须另附采购单位出具的证明材料。</w:t>
            </w:r>
          </w:p>
        </w:tc>
      </w:tr>
      <w:tr w14:paraId="0A23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Align w:val="center"/>
          </w:tcPr>
          <w:p w14:paraId="5FA835F0">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86" w:type="dxa"/>
            <w:vAlign w:val="center"/>
          </w:tcPr>
          <w:p w14:paraId="5009CBDF">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体系认证（</w:t>
            </w:r>
            <w:r>
              <w:rPr>
                <w:rFonts w:hint="eastAsia" w:ascii="宋体" w:hAnsi="宋体" w:eastAsia="宋体" w:cs="宋体"/>
                <w:color w:val="auto"/>
                <w:kern w:val="2"/>
                <w:sz w:val="21"/>
                <w:szCs w:val="21"/>
                <w:highlight w:val="none"/>
                <w:lang w:val="en-US" w:eastAsia="zh-CN" w:bidi="ar-SA"/>
              </w:rPr>
              <w:t>10分</w:t>
            </w:r>
            <w:r>
              <w:rPr>
                <w:rFonts w:hint="eastAsia" w:ascii="宋体" w:hAnsi="宋体" w:eastAsia="宋体" w:cs="宋体"/>
                <w:color w:val="auto"/>
                <w:kern w:val="2"/>
                <w:sz w:val="21"/>
                <w:szCs w:val="21"/>
                <w:highlight w:val="none"/>
                <w:lang w:val="zh-CN" w:eastAsia="zh-CN" w:bidi="ar-SA"/>
              </w:rPr>
              <w:t>）</w:t>
            </w:r>
          </w:p>
          <w:p w14:paraId="7F8385B3">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kern w:val="2"/>
                <w:sz w:val="21"/>
                <w:szCs w:val="21"/>
                <w:highlight w:val="none"/>
                <w:lang w:val="zh-CN" w:eastAsia="zh-CN" w:bidi="ar-SA"/>
              </w:rPr>
            </w:pPr>
          </w:p>
        </w:tc>
        <w:tc>
          <w:tcPr>
            <w:tcW w:w="7661" w:type="dxa"/>
            <w:vAlign w:val="center"/>
          </w:tcPr>
          <w:p w14:paraId="69BA2F90">
            <w:pPr>
              <w:widowControl/>
              <w:spacing w:line="360" w:lineRule="exact"/>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投标供应商具有中国国家认证认可监督管理委员会认证机构颁发的以下证书：</w:t>
            </w:r>
          </w:p>
          <w:p w14:paraId="0EA82F94">
            <w:pPr>
              <w:widowControl/>
              <w:spacing w:line="360" w:lineRule="exact"/>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①质量管理体系认证证书的得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w:t>
            </w:r>
          </w:p>
          <w:p w14:paraId="664EBD1D">
            <w:pPr>
              <w:widowControl/>
              <w:spacing w:line="360" w:lineRule="exact"/>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②环境管理体系认证证书的得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w:t>
            </w:r>
          </w:p>
          <w:p w14:paraId="16599D67">
            <w:pPr>
              <w:widowControl/>
              <w:spacing w:line="360" w:lineRule="exact"/>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③职业健康安全管理体系认证证书的得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w:t>
            </w:r>
          </w:p>
          <w:p w14:paraId="0D23D713">
            <w:pPr>
              <w:widowControl/>
              <w:spacing w:line="360" w:lineRule="exact"/>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④信息技术服务管理体系认证证书的得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w:t>
            </w:r>
          </w:p>
          <w:p w14:paraId="69870F7E">
            <w:pPr>
              <w:widowControl/>
              <w:spacing w:line="36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⑤信息安全管理体系认证证书的得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w:t>
            </w:r>
            <w:r>
              <w:rPr>
                <w:rFonts w:hint="eastAsia" w:ascii="宋体" w:hAnsi="宋体" w:eastAsia="宋体" w:cs="宋体"/>
                <w:color w:val="auto"/>
                <w:kern w:val="2"/>
                <w:sz w:val="21"/>
                <w:szCs w:val="21"/>
                <w:highlight w:val="none"/>
                <w:lang w:val="en-US" w:eastAsia="zh-CN" w:bidi="ar-SA"/>
              </w:rPr>
              <w:t>。</w:t>
            </w:r>
          </w:p>
          <w:p w14:paraId="3383F2A9">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注：上述证书均在有效期内，提供证书复印件加盖投标供应商公章。证书单位名称与投标供应商名称一致，在全国认证认可信息公共服务平台（http://cx.cnca.cn/）网站上可查，并提供查询截图，否则不得分。</w:t>
            </w:r>
          </w:p>
        </w:tc>
      </w:tr>
    </w:tbl>
    <w:p w14:paraId="07BB3FFB">
      <w:pPr>
        <w:spacing w:line="440" w:lineRule="atLeast"/>
        <w:ind w:firstLine="420" w:firstLineChars="200"/>
        <w:jc w:val="left"/>
        <w:rPr>
          <w:rFonts w:hint="eastAsia" w:ascii="宋体" w:hAnsi="宋体"/>
          <w:color w:val="auto"/>
          <w:szCs w:val="21"/>
          <w:highlight w:val="none"/>
        </w:rPr>
      </w:pPr>
    </w:p>
    <w:p w14:paraId="460C380F">
      <w:pPr>
        <w:spacing w:line="440" w:lineRule="atLeast"/>
        <w:ind w:firstLine="420" w:firstLineChars="200"/>
        <w:jc w:val="left"/>
        <w:rPr>
          <w:rFonts w:ascii="宋体" w:hAnsi="宋体"/>
          <w:color w:val="auto"/>
          <w:szCs w:val="21"/>
          <w:highlight w:val="none"/>
        </w:rPr>
      </w:pPr>
      <w:r>
        <w:rPr>
          <w:rFonts w:hint="eastAsia" w:ascii="宋体" w:hAnsi="宋体"/>
          <w:color w:val="auto"/>
          <w:szCs w:val="21"/>
          <w:highlight w:val="none"/>
        </w:rPr>
        <w:t>6.2技术评审细则（</w:t>
      </w:r>
      <w:r>
        <w:rPr>
          <w:rFonts w:hint="eastAsia" w:ascii="宋体" w:hAnsi="宋体"/>
          <w:color w:val="auto"/>
          <w:szCs w:val="21"/>
          <w:highlight w:val="none"/>
          <w:lang w:val="en-US" w:eastAsia="zh-CN"/>
        </w:rPr>
        <w:t>56</w:t>
      </w:r>
      <w:r>
        <w:rPr>
          <w:rFonts w:hint="eastAsia" w:ascii="宋体" w:hAnsi="宋体"/>
          <w:color w:val="auto"/>
          <w:szCs w:val="21"/>
          <w:highlight w:val="none"/>
        </w:rPr>
        <w:t>分）</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5"/>
        <w:gridCol w:w="7863"/>
      </w:tblGrid>
      <w:tr w14:paraId="16DB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2" w:type="dxa"/>
            <w:vAlign w:val="center"/>
          </w:tcPr>
          <w:p w14:paraId="5DCF7FE6">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1325" w:type="dxa"/>
            <w:vAlign w:val="center"/>
          </w:tcPr>
          <w:p w14:paraId="7C6A7C55">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评分因素</w:t>
            </w:r>
          </w:p>
        </w:tc>
        <w:tc>
          <w:tcPr>
            <w:tcW w:w="7863" w:type="dxa"/>
            <w:vAlign w:val="center"/>
          </w:tcPr>
          <w:p w14:paraId="1C30CAA8">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244E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2" w:type="dxa"/>
            <w:vAlign w:val="center"/>
          </w:tcPr>
          <w:p w14:paraId="78089F10">
            <w:pPr>
              <w:pStyle w:val="23"/>
              <w:spacing w:line="440" w:lineRule="exact"/>
              <w:jc w:val="center"/>
              <w:rPr>
                <w:color w:val="auto"/>
                <w:sz w:val="21"/>
                <w:szCs w:val="21"/>
                <w:highlight w:val="none"/>
              </w:rPr>
            </w:pPr>
            <w:r>
              <w:rPr>
                <w:rFonts w:hint="eastAsia"/>
                <w:color w:val="auto"/>
                <w:sz w:val="21"/>
                <w:szCs w:val="21"/>
                <w:highlight w:val="none"/>
              </w:rPr>
              <w:t>1</w:t>
            </w:r>
          </w:p>
        </w:tc>
        <w:tc>
          <w:tcPr>
            <w:tcW w:w="1325" w:type="dxa"/>
            <w:vAlign w:val="center"/>
          </w:tcPr>
          <w:p w14:paraId="7DCB2544">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产品技术参数（</w:t>
            </w:r>
            <w:r>
              <w:rPr>
                <w:rFonts w:hint="eastAsia" w:ascii="宋体" w:hAnsi="宋体" w:eastAsia="宋体" w:cs="宋体"/>
                <w:color w:val="auto"/>
                <w:kern w:val="2"/>
                <w:sz w:val="21"/>
                <w:szCs w:val="21"/>
                <w:highlight w:val="none"/>
                <w:lang w:val="en-US" w:eastAsia="zh-CN" w:bidi="ar-SA"/>
              </w:rPr>
              <w:t>36分</w:t>
            </w:r>
            <w:r>
              <w:rPr>
                <w:rFonts w:hint="eastAsia" w:ascii="宋体" w:hAnsi="宋体" w:eastAsia="宋体" w:cs="宋体"/>
                <w:color w:val="auto"/>
                <w:kern w:val="2"/>
                <w:sz w:val="21"/>
                <w:szCs w:val="21"/>
                <w:highlight w:val="none"/>
                <w:lang w:val="zh-CN" w:eastAsia="zh-CN" w:bidi="ar-SA"/>
              </w:rPr>
              <w:t>）</w:t>
            </w:r>
          </w:p>
        </w:tc>
        <w:tc>
          <w:tcPr>
            <w:tcW w:w="7863" w:type="dxa"/>
            <w:vAlign w:val="center"/>
          </w:tcPr>
          <w:p w14:paraId="018C3017">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 xml:space="preserve">根据所投产品对招标文件的技术参数及要求响应情况进行评分： </w:t>
            </w:r>
          </w:p>
          <w:p w14:paraId="485EF872">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 xml:space="preserve">代表重要指标，每满足一项得3分，共8项，共计24分。 </w:t>
            </w:r>
          </w:p>
          <w:p w14:paraId="495BC7D1">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 xml:space="preserve">、●代表一般指标，每满足一项得2分，共6项，共计12分。 </w:t>
            </w:r>
          </w:p>
          <w:p w14:paraId="7081CCEA">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★代表为必须响应参数，</w:t>
            </w:r>
            <w:r>
              <w:rPr>
                <w:rFonts w:hint="eastAsia" w:ascii="宋体" w:hAnsi="宋体" w:cs="宋体"/>
                <w:color w:val="auto"/>
                <w:kern w:val="2"/>
                <w:sz w:val="21"/>
                <w:szCs w:val="21"/>
                <w:highlight w:val="none"/>
                <w:lang w:val="en-US" w:eastAsia="zh-CN" w:bidi="ar-SA"/>
              </w:rPr>
              <w:t>必须响应，</w:t>
            </w:r>
            <w:r>
              <w:rPr>
                <w:rFonts w:hint="eastAsia" w:ascii="宋体" w:hAnsi="宋体" w:eastAsia="宋体" w:cs="宋体"/>
                <w:color w:val="auto"/>
                <w:kern w:val="2"/>
                <w:sz w:val="21"/>
                <w:szCs w:val="21"/>
                <w:highlight w:val="none"/>
                <w:lang w:val="zh-CN" w:eastAsia="zh-CN" w:bidi="ar-SA"/>
              </w:rPr>
              <w:t>不得负偏离，否则投标无效。</w:t>
            </w:r>
          </w:p>
          <w:p w14:paraId="349C5622">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注：（1）如某项标识中包含多条技术参数或要求，则该项标识所含内容均需满足或优于招标文件要求，否则不予认可。</w:t>
            </w:r>
          </w:p>
          <w:p w14:paraId="3CD400D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以投标响应表和“货物需求表”中要求提供的证明材料作为评审依据。</w:t>
            </w:r>
          </w:p>
        </w:tc>
      </w:tr>
      <w:tr w14:paraId="7A06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034BE09">
            <w:pPr>
              <w:pStyle w:val="57"/>
              <w:spacing w:line="440" w:lineRule="exact"/>
              <w:ind w:firstLine="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1325" w:type="dxa"/>
            <w:vAlign w:val="center"/>
          </w:tcPr>
          <w:p w14:paraId="026B1EBD">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供货安装方案（</w:t>
            </w:r>
            <w:r>
              <w:rPr>
                <w:rFonts w:hint="eastAsia" w:ascii="宋体" w:hAnsi="宋体" w:eastAsia="宋体" w:cs="宋体"/>
                <w:color w:val="auto"/>
                <w:kern w:val="2"/>
                <w:sz w:val="21"/>
                <w:szCs w:val="21"/>
                <w:highlight w:val="none"/>
                <w:lang w:val="en-US" w:eastAsia="zh-CN" w:bidi="ar-SA"/>
              </w:rPr>
              <w:t>7分</w:t>
            </w:r>
            <w:r>
              <w:rPr>
                <w:rFonts w:hint="eastAsia" w:ascii="宋体" w:hAnsi="宋体" w:eastAsia="宋体" w:cs="宋体"/>
                <w:color w:val="auto"/>
                <w:kern w:val="2"/>
                <w:sz w:val="21"/>
                <w:szCs w:val="21"/>
                <w:highlight w:val="none"/>
                <w:lang w:val="zh-CN" w:eastAsia="zh-CN" w:bidi="ar-SA"/>
              </w:rPr>
              <w:t>）</w:t>
            </w:r>
          </w:p>
        </w:tc>
        <w:tc>
          <w:tcPr>
            <w:tcW w:w="7863" w:type="dxa"/>
            <w:vAlign w:val="center"/>
          </w:tcPr>
          <w:p w14:paraId="2BB836E7">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根据投标人</w:t>
            </w:r>
            <w:r>
              <w:rPr>
                <w:rFonts w:hint="eastAsia" w:ascii="宋体" w:hAnsi="宋体" w:eastAsia="宋体" w:cs="宋体"/>
                <w:color w:val="auto"/>
                <w:kern w:val="2"/>
                <w:sz w:val="21"/>
                <w:szCs w:val="21"/>
                <w:highlight w:val="none"/>
                <w:lang w:val="en-US" w:eastAsia="zh-CN" w:bidi="ar-SA"/>
              </w:rPr>
              <w:t>针对本项目</w:t>
            </w:r>
            <w:r>
              <w:rPr>
                <w:rFonts w:hint="eastAsia" w:ascii="宋体" w:hAnsi="宋体" w:eastAsia="宋体" w:cs="宋体"/>
                <w:color w:val="auto"/>
                <w:kern w:val="2"/>
                <w:sz w:val="21"/>
                <w:szCs w:val="21"/>
                <w:highlight w:val="none"/>
                <w:lang w:val="zh-CN" w:eastAsia="zh-CN" w:bidi="ar-SA"/>
              </w:rPr>
              <w:t>的</w:t>
            </w:r>
            <w:r>
              <w:rPr>
                <w:rFonts w:hint="eastAsia" w:ascii="宋体" w:hAnsi="宋体" w:eastAsia="宋体" w:cs="宋体"/>
                <w:color w:val="auto"/>
                <w:kern w:val="2"/>
                <w:sz w:val="21"/>
                <w:szCs w:val="21"/>
                <w:highlight w:val="none"/>
                <w:lang w:val="en-US" w:eastAsia="zh-CN" w:bidi="ar-SA"/>
              </w:rPr>
              <w:t>实施、</w:t>
            </w:r>
            <w:r>
              <w:rPr>
                <w:rFonts w:hint="eastAsia" w:ascii="宋体" w:hAnsi="宋体" w:eastAsia="宋体" w:cs="宋体"/>
                <w:color w:val="auto"/>
                <w:kern w:val="2"/>
                <w:sz w:val="21"/>
                <w:szCs w:val="21"/>
                <w:highlight w:val="none"/>
                <w:lang w:val="zh-CN" w:eastAsia="zh-CN" w:bidi="ar-SA"/>
              </w:rPr>
              <w:t>安装方案进行综合评分。</w:t>
            </w:r>
          </w:p>
          <w:p w14:paraId="520CAF16">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zh-CN" w:eastAsia="zh-CN" w:bidi="ar-SA"/>
              </w:rPr>
              <w:t>与本项目的具体特点和实际需要适应度</w:t>
            </w:r>
            <w:r>
              <w:rPr>
                <w:rFonts w:hint="eastAsia" w:ascii="宋体" w:hAnsi="宋体" w:eastAsia="宋体" w:cs="宋体"/>
                <w:color w:val="auto"/>
                <w:kern w:val="2"/>
                <w:sz w:val="21"/>
                <w:szCs w:val="21"/>
                <w:highlight w:val="none"/>
                <w:lang w:val="en-US" w:eastAsia="zh-CN" w:bidi="ar-SA"/>
              </w:rPr>
              <w:t>完全符合</w:t>
            </w:r>
            <w:r>
              <w:rPr>
                <w:rFonts w:hint="eastAsia" w:ascii="宋体" w:hAnsi="宋体" w:eastAsia="宋体" w:cs="宋体"/>
                <w:color w:val="auto"/>
                <w:kern w:val="2"/>
                <w:sz w:val="21"/>
                <w:szCs w:val="21"/>
                <w:highlight w:val="none"/>
                <w:lang w:val="zh-CN" w:eastAsia="zh-CN" w:bidi="ar-SA"/>
              </w:rPr>
              <w:t>，利于项目实施，有针对性，得</w:t>
            </w: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zh-CN" w:eastAsia="zh-CN" w:bidi="ar-SA"/>
              </w:rPr>
              <w:t>分；</w:t>
            </w:r>
          </w:p>
          <w:p w14:paraId="2A42051B">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2）符合</w:t>
            </w:r>
            <w:r>
              <w:rPr>
                <w:rFonts w:hint="eastAsia" w:ascii="宋体" w:hAnsi="宋体" w:eastAsia="宋体" w:cs="宋体"/>
                <w:color w:val="auto"/>
                <w:kern w:val="2"/>
                <w:sz w:val="21"/>
                <w:szCs w:val="21"/>
                <w:highlight w:val="none"/>
                <w:lang w:val="zh-CN" w:eastAsia="zh-CN" w:bidi="ar-SA"/>
              </w:rPr>
              <w:t>本项目</w:t>
            </w:r>
            <w:r>
              <w:rPr>
                <w:rFonts w:hint="eastAsia" w:ascii="宋体" w:hAnsi="宋体" w:eastAsia="宋体" w:cs="宋体"/>
                <w:color w:val="auto"/>
                <w:kern w:val="2"/>
                <w:sz w:val="21"/>
                <w:szCs w:val="21"/>
                <w:highlight w:val="none"/>
                <w:lang w:val="en-US" w:eastAsia="zh-CN" w:bidi="ar-SA"/>
              </w:rPr>
              <w:t>实际需求</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满足</w:t>
            </w:r>
            <w:r>
              <w:rPr>
                <w:rFonts w:hint="eastAsia" w:ascii="宋体" w:hAnsi="宋体" w:eastAsia="宋体" w:cs="宋体"/>
                <w:color w:val="auto"/>
                <w:kern w:val="2"/>
                <w:sz w:val="21"/>
                <w:szCs w:val="21"/>
                <w:highlight w:val="none"/>
                <w:lang w:val="zh-CN" w:eastAsia="zh-CN" w:bidi="ar-SA"/>
              </w:rPr>
              <w:t>项目实施，得</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zh-CN" w:eastAsia="zh-CN" w:bidi="ar-SA"/>
              </w:rPr>
              <w:t>分；</w:t>
            </w:r>
          </w:p>
          <w:p w14:paraId="7AF9C009">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与本项目的具体特点以及项目实际需要适应程度不够，有待完善，得</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分；</w:t>
            </w:r>
          </w:p>
          <w:p w14:paraId="21581C2B">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4）差或</w:t>
            </w:r>
            <w:r>
              <w:rPr>
                <w:rFonts w:hint="eastAsia" w:ascii="宋体" w:hAnsi="宋体" w:eastAsia="宋体" w:cs="宋体"/>
                <w:color w:val="auto"/>
                <w:kern w:val="2"/>
                <w:sz w:val="21"/>
                <w:szCs w:val="21"/>
                <w:highlight w:val="none"/>
                <w:lang w:val="zh-CN" w:eastAsia="zh-CN" w:bidi="ar-SA"/>
              </w:rPr>
              <w:t>未提供相关内容的不得分。</w:t>
            </w:r>
          </w:p>
        </w:tc>
      </w:tr>
      <w:tr w14:paraId="2C10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609461A">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325" w:type="dxa"/>
            <w:vAlign w:val="center"/>
          </w:tcPr>
          <w:p w14:paraId="0CD3530D">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售后服务及维保方案（</w:t>
            </w:r>
            <w:r>
              <w:rPr>
                <w:rFonts w:hint="eastAsia" w:ascii="宋体" w:hAnsi="宋体" w:eastAsia="宋体" w:cs="宋体"/>
                <w:color w:val="auto"/>
                <w:kern w:val="2"/>
                <w:sz w:val="21"/>
                <w:szCs w:val="21"/>
                <w:highlight w:val="none"/>
                <w:lang w:val="en-US" w:eastAsia="zh-CN" w:bidi="ar-SA"/>
              </w:rPr>
              <w:t>7分</w:t>
            </w:r>
            <w:r>
              <w:rPr>
                <w:rFonts w:hint="eastAsia" w:ascii="宋体" w:hAnsi="宋体" w:eastAsia="宋体" w:cs="宋体"/>
                <w:color w:val="auto"/>
                <w:kern w:val="2"/>
                <w:sz w:val="21"/>
                <w:szCs w:val="21"/>
                <w:highlight w:val="none"/>
                <w:lang w:val="zh-CN" w:eastAsia="zh-CN" w:bidi="ar-SA"/>
              </w:rPr>
              <w:t>）</w:t>
            </w:r>
          </w:p>
        </w:tc>
        <w:tc>
          <w:tcPr>
            <w:tcW w:w="7863" w:type="dxa"/>
            <w:vAlign w:val="center"/>
          </w:tcPr>
          <w:p w14:paraId="509AF177">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根据投标人的培训方案，售后服务及维保体系完备情况，售后技术服务承诺、保修期、保修内容及优惠条件进行综合评分。</w:t>
            </w:r>
          </w:p>
          <w:p w14:paraId="60195568">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（1）售后</w:t>
            </w:r>
            <w:r>
              <w:rPr>
                <w:rFonts w:hint="eastAsia" w:ascii="宋体" w:hAnsi="宋体" w:eastAsia="宋体" w:cs="宋体"/>
                <w:color w:val="auto"/>
                <w:kern w:val="2"/>
                <w:sz w:val="21"/>
                <w:szCs w:val="21"/>
                <w:highlight w:val="none"/>
                <w:lang w:val="zh-CN" w:eastAsia="zh-CN" w:bidi="ar-SA"/>
              </w:rPr>
              <w:t>维保体系完备，服务响应响应迅速，能够妥善解决问题得</w:t>
            </w: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zh-CN" w:eastAsia="zh-CN" w:bidi="ar-SA"/>
              </w:rPr>
              <w:t>分；</w:t>
            </w:r>
          </w:p>
          <w:p w14:paraId="6C8EC27E">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（2）售后</w:t>
            </w:r>
            <w:r>
              <w:rPr>
                <w:rFonts w:hint="eastAsia" w:ascii="宋体" w:hAnsi="宋体" w:eastAsia="宋体" w:cs="宋体"/>
                <w:color w:val="auto"/>
                <w:kern w:val="2"/>
                <w:sz w:val="21"/>
                <w:szCs w:val="21"/>
                <w:highlight w:val="none"/>
                <w:lang w:val="zh-CN" w:eastAsia="zh-CN" w:bidi="ar-SA"/>
              </w:rPr>
              <w:t>维保体系</w:t>
            </w:r>
            <w:r>
              <w:rPr>
                <w:rFonts w:hint="eastAsia" w:ascii="宋体" w:hAnsi="宋体" w:eastAsia="宋体" w:cs="宋体"/>
                <w:color w:val="auto"/>
                <w:kern w:val="2"/>
                <w:sz w:val="21"/>
                <w:szCs w:val="21"/>
                <w:highlight w:val="none"/>
                <w:lang w:val="en-US" w:eastAsia="zh-CN" w:bidi="ar-SA"/>
              </w:rPr>
              <w:t>完整</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服务</w:t>
            </w:r>
            <w:r>
              <w:rPr>
                <w:rFonts w:hint="eastAsia" w:ascii="宋体" w:hAnsi="宋体" w:eastAsia="宋体" w:cs="宋体"/>
                <w:color w:val="auto"/>
                <w:kern w:val="2"/>
                <w:sz w:val="21"/>
                <w:szCs w:val="21"/>
                <w:highlight w:val="none"/>
                <w:lang w:val="zh-CN" w:eastAsia="zh-CN" w:bidi="ar-SA"/>
              </w:rPr>
              <w:t>响应及时，</w:t>
            </w:r>
            <w:r>
              <w:rPr>
                <w:rFonts w:hint="eastAsia" w:ascii="宋体" w:hAnsi="宋体" w:eastAsia="宋体" w:cs="宋体"/>
                <w:color w:val="auto"/>
                <w:kern w:val="2"/>
                <w:sz w:val="21"/>
                <w:szCs w:val="21"/>
                <w:highlight w:val="none"/>
                <w:lang w:val="en-US" w:eastAsia="zh-CN" w:bidi="ar-SA"/>
              </w:rPr>
              <w:t>能够</w:t>
            </w:r>
            <w:r>
              <w:rPr>
                <w:rFonts w:hint="eastAsia" w:ascii="宋体" w:hAnsi="宋体" w:eastAsia="宋体" w:cs="宋体"/>
                <w:color w:val="auto"/>
                <w:kern w:val="2"/>
                <w:sz w:val="21"/>
                <w:szCs w:val="21"/>
                <w:highlight w:val="none"/>
                <w:lang w:val="zh-CN" w:eastAsia="zh-CN" w:bidi="ar-SA"/>
              </w:rPr>
              <w:t>保障项目需要得</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zh-CN" w:eastAsia="zh-CN" w:bidi="ar-SA"/>
              </w:rPr>
              <w:t>分；</w:t>
            </w:r>
          </w:p>
          <w:p w14:paraId="509FA343">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（3）售后维保体系、服务响应、</w:t>
            </w:r>
            <w:r>
              <w:rPr>
                <w:rFonts w:hint="eastAsia" w:ascii="宋体" w:hAnsi="宋体" w:eastAsia="宋体" w:cs="宋体"/>
                <w:color w:val="auto"/>
                <w:kern w:val="2"/>
                <w:sz w:val="21"/>
                <w:szCs w:val="21"/>
                <w:highlight w:val="none"/>
                <w:lang w:val="zh-CN" w:eastAsia="zh-CN" w:bidi="ar-SA"/>
              </w:rPr>
              <w:t>细节有待完善得</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分；</w:t>
            </w:r>
          </w:p>
          <w:p w14:paraId="4E98E94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4）差或</w:t>
            </w:r>
            <w:r>
              <w:rPr>
                <w:rFonts w:hint="eastAsia" w:ascii="宋体" w:hAnsi="宋体" w:eastAsia="宋体" w:cs="宋体"/>
                <w:color w:val="auto"/>
                <w:kern w:val="2"/>
                <w:sz w:val="21"/>
                <w:szCs w:val="21"/>
                <w:highlight w:val="none"/>
                <w:lang w:val="zh-CN" w:eastAsia="zh-CN" w:bidi="ar-SA"/>
              </w:rPr>
              <w:t>未提供相关内容的不得分。</w:t>
            </w:r>
          </w:p>
        </w:tc>
      </w:tr>
      <w:tr w14:paraId="0E76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51B44EE">
            <w:pPr>
              <w:pStyle w:val="57"/>
              <w:spacing w:line="440" w:lineRule="exact"/>
              <w:ind w:firstLine="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1325" w:type="dxa"/>
            <w:vAlign w:val="center"/>
          </w:tcPr>
          <w:p w14:paraId="0C1156C7">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培训方案</w:t>
            </w:r>
          </w:p>
          <w:p w14:paraId="4603D0F0">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6分</w:t>
            </w:r>
            <w:r>
              <w:rPr>
                <w:rFonts w:hint="eastAsia" w:ascii="宋体" w:hAnsi="宋体" w:eastAsia="宋体" w:cs="宋体"/>
                <w:color w:val="auto"/>
                <w:kern w:val="2"/>
                <w:sz w:val="21"/>
                <w:szCs w:val="21"/>
                <w:highlight w:val="none"/>
                <w:lang w:val="zh-CN" w:eastAsia="zh-CN" w:bidi="ar-SA"/>
              </w:rPr>
              <w:t>）</w:t>
            </w:r>
          </w:p>
        </w:tc>
        <w:tc>
          <w:tcPr>
            <w:tcW w:w="7863" w:type="dxa"/>
            <w:vAlign w:val="center"/>
          </w:tcPr>
          <w:p w14:paraId="3921714A">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对此次采购的设备和系统，接入校园监控大平台后，针对监控值班人员、物业、保安人员的</w:t>
            </w:r>
            <w:r>
              <w:rPr>
                <w:rFonts w:hint="eastAsia" w:ascii="宋体" w:hAnsi="宋体" w:eastAsia="宋体" w:cs="宋体"/>
                <w:color w:val="auto"/>
                <w:kern w:val="2"/>
                <w:sz w:val="21"/>
                <w:szCs w:val="21"/>
                <w:highlight w:val="none"/>
                <w:lang w:val="zh-CN" w:eastAsia="zh-CN" w:bidi="ar-SA"/>
              </w:rPr>
              <w:t>培训方案：</w:t>
            </w:r>
          </w:p>
          <w:p w14:paraId="33FB0A5E">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（1）培训方案内容详实、条理清晰且具备高度可行性。方案全面覆盖新接入系统与设备的各项操作流程、功能应用等核心要点，还针对不同人员，制定了极具针对性的培训内容的</w:t>
            </w:r>
            <w:r>
              <w:rPr>
                <w:rFonts w:hint="eastAsia" w:ascii="宋体" w:hAnsi="宋体" w:eastAsia="宋体" w:cs="宋体"/>
                <w:color w:val="auto"/>
                <w:kern w:val="2"/>
                <w:sz w:val="21"/>
                <w:szCs w:val="21"/>
                <w:highlight w:val="none"/>
                <w:lang w:val="zh-CN" w:eastAsia="zh-CN" w:bidi="ar-SA"/>
              </w:rPr>
              <w:t>得</w:t>
            </w: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zh-CN" w:eastAsia="zh-CN" w:bidi="ar-SA"/>
              </w:rPr>
              <w:t>分；</w:t>
            </w:r>
          </w:p>
          <w:p w14:paraId="73D4317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（2）提交的培训方案框架基本完整，能够在一定程度上满足采购方对培训的基础需求，为监控值班人员、物业人员以及保安人员熟悉新系统与设备提供必要的指导，具备一定的实用性与可操作性的</w:t>
            </w:r>
            <w:r>
              <w:rPr>
                <w:rFonts w:hint="eastAsia" w:ascii="宋体" w:hAnsi="宋体" w:eastAsia="宋体" w:cs="宋体"/>
                <w:color w:val="auto"/>
                <w:kern w:val="2"/>
                <w:sz w:val="21"/>
                <w:szCs w:val="21"/>
                <w:highlight w:val="none"/>
                <w:lang w:val="zh-CN" w:eastAsia="zh-CN" w:bidi="ar-SA"/>
              </w:rPr>
              <w:t>得</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分；</w:t>
            </w:r>
          </w:p>
          <w:p w14:paraId="4927C687">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（3）培训方案存在明显缺陷，未能涵盖新接入系统与设备的关键操作和功能要点，无法满足采购方对提升相关人员技能的需求的得2分；</w:t>
            </w:r>
          </w:p>
          <w:p w14:paraId="44BB1168">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default"/>
                <w:color w:val="auto"/>
                <w:lang w:val="en-US" w:eastAsia="zh-CN"/>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4）差或</w:t>
            </w:r>
            <w:r>
              <w:rPr>
                <w:rFonts w:hint="eastAsia" w:ascii="宋体" w:hAnsi="宋体" w:eastAsia="宋体" w:cs="宋体"/>
                <w:color w:val="auto"/>
                <w:kern w:val="2"/>
                <w:sz w:val="21"/>
                <w:szCs w:val="21"/>
                <w:highlight w:val="none"/>
                <w:lang w:val="zh-CN" w:eastAsia="zh-CN" w:bidi="ar-SA"/>
              </w:rPr>
              <w:t>未提供相关内容的不得分</w:t>
            </w:r>
            <w:r>
              <w:rPr>
                <w:rFonts w:hint="eastAsia" w:ascii="宋体" w:hAnsi="宋体" w:eastAsia="宋体" w:cs="宋体"/>
                <w:color w:val="auto"/>
                <w:kern w:val="2"/>
                <w:sz w:val="21"/>
                <w:szCs w:val="21"/>
                <w:highlight w:val="none"/>
                <w:lang w:val="en-US" w:eastAsia="zh-CN" w:bidi="ar-SA"/>
              </w:rPr>
              <w:t>。​</w:t>
            </w:r>
          </w:p>
        </w:tc>
      </w:tr>
    </w:tbl>
    <w:p w14:paraId="6CB4056A">
      <w:pPr>
        <w:spacing w:line="44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注：该项由专家评委评审打分，以专家评委评分的算术平均值作为投标供应商的技术最终得分。评分过程中，数据的计算过程和计算结果均保留两位小数点，第三位四舍五入。</w:t>
      </w:r>
    </w:p>
    <w:p w14:paraId="5140A40D">
      <w:pPr>
        <w:pStyle w:val="23"/>
        <w:keepNext/>
        <w:widowControl w:val="0"/>
        <w:snapToGrid w:val="0"/>
        <w:spacing w:line="440" w:lineRule="atLeast"/>
        <w:ind w:firstLine="420" w:firstLineChars="200"/>
        <w:outlineLvl w:val="3"/>
        <w:rPr>
          <w:bCs/>
          <w:color w:val="auto"/>
          <w:sz w:val="21"/>
          <w:szCs w:val="21"/>
          <w:highlight w:val="none"/>
        </w:rPr>
      </w:pPr>
      <w:r>
        <w:rPr>
          <w:rFonts w:hint="eastAsia"/>
          <w:bCs/>
          <w:color w:val="auto"/>
          <w:sz w:val="21"/>
          <w:szCs w:val="21"/>
          <w:highlight w:val="none"/>
        </w:rPr>
        <w:t>6.3商务标评审细则（3</w:t>
      </w:r>
      <w:r>
        <w:rPr>
          <w:rFonts w:hint="eastAsia"/>
          <w:bCs/>
          <w:color w:val="auto"/>
          <w:sz w:val="21"/>
          <w:szCs w:val="21"/>
          <w:highlight w:val="none"/>
          <w:lang w:val="en-US" w:eastAsia="zh-CN"/>
        </w:rPr>
        <w:t>0</w:t>
      </w:r>
      <w:r>
        <w:rPr>
          <w:rFonts w:hint="eastAsia"/>
          <w:bCs/>
          <w:color w:val="auto"/>
          <w:sz w:val="21"/>
          <w:szCs w:val="21"/>
          <w:highlight w:val="none"/>
        </w:rPr>
        <w:t>分）</w:t>
      </w:r>
    </w:p>
    <w:tbl>
      <w:tblPr>
        <w:tblStyle w:val="26"/>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61"/>
        <w:gridCol w:w="7629"/>
      </w:tblGrid>
      <w:tr w14:paraId="6EB5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020" w:type="dxa"/>
            <w:vAlign w:val="center"/>
          </w:tcPr>
          <w:p w14:paraId="37E270E6">
            <w:pPr>
              <w:spacing w:line="440" w:lineRule="atLeast"/>
              <w:jc w:val="center"/>
              <w:rPr>
                <w:rFonts w:ascii="宋体" w:hAnsi="宋体" w:cs="宋体"/>
                <w:color w:val="auto"/>
                <w:szCs w:val="21"/>
                <w:highlight w:val="none"/>
              </w:rPr>
            </w:pPr>
            <w:r>
              <w:rPr>
                <w:rFonts w:hint="eastAsia" w:ascii="黑体" w:hAnsi="黑体" w:eastAsia="黑体" w:cs="黑体"/>
                <w:b/>
                <w:bCs/>
                <w:color w:val="auto"/>
                <w:szCs w:val="21"/>
                <w:highlight w:val="none"/>
              </w:rPr>
              <w:t>序号</w:t>
            </w:r>
          </w:p>
        </w:tc>
        <w:tc>
          <w:tcPr>
            <w:tcW w:w="1261" w:type="dxa"/>
            <w:tcBorders>
              <w:top w:val="single" w:color="auto" w:sz="4" w:space="0"/>
              <w:left w:val="single" w:color="auto" w:sz="4" w:space="0"/>
              <w:bottom w:val="single" w:color="auto" w:sz="4" w:space="0"/>
              <w:right w:val="single" w:color="auto" w:sz="4" w:space="0"/>
            </w:tcBorders>
            <w:vAlign w:val="center"/>
          </w:tcPr>
          <w:p w14:paraId="0511E9CC">
            <w:pPr>
              <w:spacing w:line="440" w:lineRule="atLeast"/>
              <w:jc w:val="center"/>
              <w:rPr>
                <w:rFonts w:ascii="宋体" w:hAnsi="宋体" w:cs="宋体"/>
                <w:color w:val="auto"/>
                <w:szCs w:val="21"/>
                <w:highlight w:val="none"/>
              </w:rPr>
            </w:pPr>
            <w:r>
              <w:rPr>
                <w:rFonts w:hint="eastAsia" w:ascii="黑体" w:hAnsi="黑体" w:eastAsia="黑体" w:cs="黑体"/>
                <w:b/>
                <w:bCs/>
                <w:color w:val="auto"/>
                <w:szCs w:val="21"/>
                <w:highlight w:val="none"/>
              </w:rPr>
              <w:t>评分因素</w:t>
            </w:r>
          </w:p>
        </w:tc>
        <w:tc>
          <w:tcPr>
            <w:tcW w:w="7629" w:type="dxa"/>
            <w:tcBorders>
              <w:top w:val="single" w:color="auto" w:sz="4" w:space="0"/>
              <w:left w:val="single" w:color="auto" w:sz="4" w:space="0"/>
              <w:bottom w:val="single" w:color="auto" w:sz="4" w:space="0"/>
              <w:right w:val="single" w:color="auto" w:sz="4" w:space="0"/>
            </w:tcBorders>
            <w:vAlign w:val="center"/>
          </w:tcPr>
          <w:p w14:paraId="1B42DA1A">
            <w:pPr>
              <w:spacing w:line="440" w:lineRule="atLeast"/>
              <w:ind w:firstLine="422" w:firstLineChars="200"/>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2AC3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Align w:val="center"/>
          </w:tcPr>
          <w:p w14:paraId="53F67AB3">
            <w:pPr>
              <w:keepNext/>
              <w:wordWrap w:val="0"/>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61" w:type="dxa"/>
            <w:tcBorders>
              <w:top w:val="single" w:color="auto" w:sz="4" w:space="0"/>
              <w:left w:val="single" w:color="auto" w:sz="4" w:space="0"/>
              <w:bottom w:val="single" w:color="auto" w:sz="4" w:space="0"/>
              <w:right w:val="single" w:color="auto" w:sz="4" w:space="0"/>
            </w:tcBorders>
            <w:vAlign w:val="center"/>
          </w:tcPr>
          <w:p w14:paraId="31CE13FF">
            <w:pPr>
              <w:keepNext/>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商务分</w:t>
            </w:r>
          </w:p>
          <w:p w14:paraId="49E1F7DA">
            <w:pPr>
              <w:keepNext/>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tc>
        <w:tc>
          <w:tcPr>
            <w:tcW w:w="7629" w:type="dxa"/>
            <w:tcBorders>
              <w:top w:val="single" w:color="auto" w:sz="4" w:space="0"/>
              <w:left w:val="single" w:color="auto" w:sz="4" w:space="0"/>
              <w:bottom w:val="single" w:color="auto" w:sz="4" w:space="0"/>
              <w:right w:val="single" w:color="auto" w:sz="4" w:space="0"/>
            </w:tcBorders>
            <w:vAlign w:val="center"/>
          </w:tcPr>
          <w:p w14:paraId="7CEE3458">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采购人设置投标报价最高限价，各投标供应商有效报价不得高于最高限价，否则，其投标文件按无效标处理。</w:t>
            </w:r>
          </w:p>
          <w:p w14:paraId="595AFF1D">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1、评标基准价=所有效投标供应商的最低报价；其得分为满分；</w:t>
            </w:r>
          </w:p>
          <w:p w14:paraId="12F9F226">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2、其它报价得分=评标基准价/投标报价*3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分，小数点后保留两位小数，第三位四舍五入；</w:t>
            </w:r>
          </w:p>
          <w:p w14:paraId="19CB63E3">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3、本项分值由评标委员会负责组织计算。</w:t>
            </w:r>
          </w:p>
        </w:tc>
      </w:tr>
    </w:tbl>
    <w:p w14:paraId="3459B457">
      <w:pPr>
        <w:widowControl/>
        <w:spacing w:before="162" w:beforeLines="50" w:after="162" w:afterLines="50" w:line="440" w:lineRule="exact"/>
        <w:jc w:val="center"/>
        <w:outlineLvl w:val="4"/>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五  推荐中标候选人</w:t>
      </w:r>
      <w:bookmarkEnd w:id="125"/>
      <w:bookmarkEnd w:id="126"/>
      <w:bookmarkEnd w:id="127"/>
      <w:bookmarkEnd w:id="128"/>
    </w:p>
    <w:bookmarkEnd w:id="108"/>
    <w:p w14:paraId="70682F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7.评标委员会按资信、技术和商务得分之和，从高到低按顺序，推荐3名中标候选人。</w:t>
      </w:r>
    </w:p>
    <w:p w14:paraId="67FD5AF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7.1总得分相同的，按投标报价由低到高顺序排列。总得分相同且报价也相同并列的，由采购人现场采取随机摇号的方式确定中标候选人。</w:t>
      </w:r>
    </w:p>
    <w:p w14:paraId="7D971A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8.投标供应商有下列情形之一的，资格审查后其投标作无效投标处理：</w:t>
      </w:r>
    </w:p>
    <w:p w14:paraId="28D0707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（1）投标供应商为本项目提供招标代理服务的；</w:t>
      </w:r>
    </w:p>
    <w:p w14:paraId="5F787C1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（2）投标供应商与在本项目代理机构存在相互任职或工作的；</w:t>
      </w:r>
    </w:p>
    <w:p w14:paraId="2C3D9B4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（3）评标专家无法查看投标文件中相关资料的；</w:t>
      </w:r>
    </w:p>
    <w:p w14:paraId="5279F41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（4）投标供应商超出营业范围投标的；</w:t>
      </w:r>
    </w:p>
    <w:p w14:paraId="2B95EA4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（5）被暂停营业的；</w:t>
      </w:r>
    </w:p>
    <w:p w14:paraId="31496A0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（6）暂停或取消投标资格的；</w:t>
      </w:r>
    </w:p>
    <w:p w14:paraId="687660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（7）财产被接管或冻结的；</w:t>
      </w:r>
    </w:p>
    <w:p w14:paraId="206B3C8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（8）投标供应商单位负责人为同一人或者存在控股、管理关系的不同单位的；</w:t>
      </w:r>
    </w:p>
    <w:p w14:paraId="4CFF0F5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（9）投标供应商基本资格条件和特定资格条件中有一项及以上不符合要求的；</w:t>
      </w:r>
    </w:p>
    <w:p w14:paraId="6FFD65A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8.1投标供应商有下列情形之一的，符合性审查后其投标按无效投标处理：</w:t>
      </w:r>
    </w:p>
    <w:p w14:paraId="6732D0E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2385F2B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（2）未按规定的格式填写导致实质性内容不全以及实质上不响应，或者关键字迹模糊、无法辨认； 经评审小组核准的；</w:t>
      </w:r>
    </w:p>
    <w:p w14:paraId="64BDD995">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（3）投标文件没有对采购文件的实质性要求和条件作出响应；</w:t>
      </w:r>
    </w:p>
    <w:p w14:paraId="6251075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（4）投标报价超出规定的投标限价或公布的采购预算的；</w:t>
      </w:r>
    </w:p>
    <w:p w14:paraId="59926E4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（5）不按评标委员会要求澄清、说明或补正的，或者评标委员会根据采购文件的规定对采购文件的计算错误进行修正后，投标供应商不接受修正的投标报价的。</w:t>
      </w:r>
    </w:p>
    <w:p w14:paraId="619CF740">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（6）投标文件含有采购人不能接受的附加条件的；</w:t>
      </w:r>
    </w:p>
    <w:p w14:paraId="5DC63634">
      <w:pPr>
        <w:tabs>
          <w:tab w:val="left" w:pos="1123"/>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（7）采购文件规定的其他无效投标情形。</w:t>
      </w:r>
    </w:p>
    <w:p w14:paraId="181A4E9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投标供应商有下列情形之一的， 详细评审后其投标按无效投标处理：</w:t>
      </w:r>
    </w:p>
    <w:p w14:paraId="4444FD2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25B15B6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（2）投标供应商有串通投标、弄虚作假、行贿等违法行为；</w:t>
      </w:r>
    </w:p>
    <w:p w14:paraId="200D214B">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（3）投标文件含有违反国家法律法规的内容，或附有采购人不能接受的条件的；</w:t>
      </w:r>
    </w:p>
    <w:p w14:paraId="32C2F2A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（4）在同一项目（或同一标段）中有多个投标供应商有效投标报价接近最高限价，且评标委员会认为报价出现异常的，可以宣布其投标无效；</w:t>
      </w:r>
    </w:p>
    <w:p w14:paraId="7BE45B5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（5）报价明显低于其他投标供应商，且不能证明报价合理性的投标无效；</w:t>
      </w:r>
    </w:p>
    <w:p w14:paraId="029114EA">
      <w:pPr>
        <w:spacing w:line="440" w:lineRule="exact"/>
        <w:ind w:firstLine="420" w:firstLineChars="200"/>
        <w:jc w:val="left"/>
        <w:outlineLvl w:val="4"/>
        <w:rPr>
          <w:color w:val="auto"/>
          <w:highlight w:val="none"/>
        </w:rPr>
      </w:pPr>
      <w:r>
        <w:rPr>
          <w:rFonts w:hint="eastAsia" w:ascii="宋体" w:hAnsi="宋体" w:cs="宋体"/>
          <w:color w:val="auto"/>
          <w:szCs w:val="21"/>
          <w:highlight w:val="none"/>
        </w:rPr>
        <w:t>（6）拒不确认评标委员会评审修正的投标无效；</w:t>
      </w:r>
    </w:p>
    <w:p w14:paraId="5FE771A6">
      <w:pPr>
        <w:keepNext/>
        <w:pageBreakBefore/>
        <w:spacing w:before="162" w:beforeLines="50" w:after="162" w:afterLines="50" w:line="440" w:lineRule="exact"/>
        <w:jc w:val="center"/>
        <w:rPr>
          <w:rFonts w:ascii="宋体" w:hAnsi="宋体" w:cs="宋体"/>
          <w:b/>
          <w:color w:val="auto"/>
          <w:sz w:val="32"/>
          <w:szCs w:val="32"/>
          <w:highlight w:val="none"/>
        </w:rPr>
        <w:sectPr>
          <w:footerReference r:id="rId7" w:type="first"/>
          <w:footerReference r:id="rId6" w:type="default"/>
          <w:pgSz w:w="11906" w:h="16838"/>
          <w:pgMar w:top="1134" w:right="1417" w:bottom="1134" w:left="1417" w:header="850" w:footer="992" w:gutter="0"/>
          <w:cols w:space="720" w:num="1"/>
          <w:docGrid w:type="lines" w:linePitch="324" w:charSpace="0"/>
        </w:sectPr>
      </w:pPr>
      <w:bookmarkStart w:id="129" w:name="_Toc27595"/>
    </w:p>
    <w:p w14:paraId="203837F6">
      <w:pPr>
        <w:keepNext/>
        <w:pageBreakBefore/>
        <w:spacing w:before="162" w:beforeLines="50" w:after="162" w:afterLines="50" w:line="440" w:lineRule="exact"/>
        <w:jc w:val="center"/>
        <w:outlineLvl w:val="1"/>
        <w:rPr>
          <w:b/>
          <w:bCs/>
          <w:color w:val="auto"/>
          <w:highlight w:val="none"/>
        </w:rPr>
      </w:pPr>
      <w:r>
        <w:rPr>
          <w:rFonts w:hint="eastAsia" w:ascii="宋体" w:hAnsi="宋体" w:cs="宋体"/>
          <w:b/>
          <w:color w:val="auto"/>
          <w:sz w:val="32"/>
          <w:szCs w:val="32"/>
          <w:highlight w:val="none"/>
        </w:rPr>
        <w:t>第三章  采购服务需求</w:t>
      </w:r>
      <w:bookmarkEnd w:id="129"/>
    </w:p>
    <w:p w14:paraId="27C7A5FF">
      <w:pPr>
        <w:keepNext/>
        <w:tabs>
          <w:tab w:val="left" w:pos="420"/>
        </w:tabs>
        <w:spacing w:line="440" w:lineRule="exact"/>
        <w:ind w:firstLine="420"/>
        <w:jc w:val="left"/>
        <w:outlineLvl w:val="2"/>
        <w:rPr>
          <w:rFonts w:ascii="宋体"/>
          <w:b/>
          <w:color w:val="auto"/>
          <w:szCs w:val="21"/>
          <w:highlight w:val="none"/>
        </w:rPr>
      </w:pPr>
      <w:bookmarkStart w:id="130" w:name="_Toc18551"/>
      <w:r>
        <w:rPr>
          <w:rFonts w:hint="eastAsia" w:ascii="宋体"/>
          <w:b/>
          <w:color w:val="auto"/>
          <w:szCs w:val="21"/>
          <w:highlight w:val="none"/>
        </w:rPr>
        <w:t>一、采购需求及技术参数</w:t>
      </w:r>
    </w:p>
    <w:tbl>
      <w:tblPr>
        <w:tblStyle w:val="26"/>
        <w:tblpPr w:leftFromText="180" w:rightFromText="180" w:vertAnchor="text" w:horzAnchor="page" w:tblpX="606" w:tblpY="585"/>
        <w:tblOverlap w:val="never"/>
        <w:tblW w:w="11027" w:type="dxa"/>
        <w:tblInd w:w="0" w:type="dxa"/>
        <w:tblLayout w:type="fixed"/>
        <w:tblCellMar>
          <w:top w:w="0" w:type="dxa"/>
          <w:left w:w="108" w:type="dxa"/>
          <w:bottom w:w="0" w:type="dxa"/>
          <w:right w:w="108" w:type="dxa"/>
        </w:tblCellMar>
      </w:tblPr>
      <w:tblGrid>
        <w:gridCol w:w="690"/>
        <w:gridCol w:w="961"/>
        <w:gridCol w:w="7434"/>
        <w:gridCol w:w="656"/>
        <w:gridCol w:w="740"/>
        <w:gridCol w:w="546"/>
      </w:tblGrid>
      <w:tr w14:paraId="5EAC50DB">
        <w:tblPrEx>
          <w:tblCellMar>
            <w:top w:w="0" w:type="dxa"/>
            <w:left w:w="108" w:type="dxa"/>
            <w:bottom w:w="0" w:type="dxa"/>
            <w:right w:w="108" w:type="dxa"/>
          </w:tblCellMar>
        </w:tblPrEx>
        <w:trPr>
          <w:trHeight w:val="480" w:hRule="atLeast"/>
        </w:trPr>
        <w:tc>
          <w:tcPr>
            <w:tcW w:w="690" w:type="dxa"/>
            <w:tcBorders>
              <w:top w:val="single" w:color="auto" w:sz="4" w:space="0"/>
              <w:left w:val="single" w:color="auto" w:sz="4" w:space="0"/>
              <w:bottom w:val="single" w:color="auto" w:sz="4" w:space="0"/>
              <w:right w:val="single" w:color="auto" w:sz="4" w:space="0"/>
            </w:tcBorders>
            <w:noWrap/>
            <w:vAlign w:val="center"/>
          </w:tcPr>
          <w:p w14:paraId="24C2E7D1">
            <w:pPr>
              <w:keepNext w:val="0"/>
              <w:keepLines w:val="0"/>
              <w:pageBreakBefore w:val="0"/>
              <w:kinsoku/>
              <w:wordWrap/>
              <w:overflowPunct/>
              <w:topLinePunct w:val="0"/>
              <w:bidi w:val="0"/>
              <w:snapToGrid/>
              <w:spacing w:line="500" w:lineRule="exact"/>
              <w:jc w:val="center"/>
              <w:rPr>
                <w:rFonts w:hint="eastAsia" w:ascii="宋体" w:hAnsi="宋体" w:eastAsia="宋体" w:cs="宋体"/>
                <w:b/>
                <w:bCs/>
                <w:color w:val="auto"/>
                <w:kern w:val="0"/>
                <w:sz w:val="21"/>
                <w:szCs w:val="21"/>
                <w:highlight w:val="none"/>
              </w:rPr>
            </w:pPr>
            <w:bookmarkStart w:id="131" w:name="_Hlk177636304"/>
            <w:r>
              <w:rPr>
                <w:rFonts w:hint="eastAsia" w:ascii="宋体" w:hAnsi="宋体" w:eastAsia="宋体" w:cs="宋体"/>
                <w:b/>
                <w:bCs/>
                <w:color w:val="auto"/>
                <w:sz w:val="21"/>
                <w:szCs w:val="21"/>
                <w:highlight w:val="none"/>
              </w:rPr>
              <w:t>序号</w:t>
            </w:r>
          </w:p>
        </w:tc>
        <w:tc>
          <w:tcPr>
            <w:tcW w:w="961" w:type="dxa"/>
            <w:tcBorders>
              <w:top w:val="single" w:color="auto" w:sz="4" w:space="0"/>
              <w:left w:val="nil"/>
              <w:bottom w:val="single" w:color="auto" w:sz="4" w:space="0"/>
              <w:right w:val="single" w:color="auto" w:sz="4" w:space="0"/>
            </w:tcBorders>
            <w:noWrap w:val="0"/>
            <w:vAlign w:val="center"/>
          </w:tcPr>
          <w:p w14:paraId="447AE8FD">
            <w:pPr>
              <w:keepNext w:val="0"/>
              <w:keepLines w:val="0"/>
              <w:pageBreakBefore w:val="0"/>
              <w:kinsoku/>
              <w:wordWrap/>
              <w:overflowPunct/>
              <w:topLinePunct w:val="0"/>
              <w:bidi w:val="0"/>
              <w:snapToGrid/>
              <w:spacing w:line="5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货物名称</w:t>
            </w:r>
          </w:p>
        </w:tc>
        <w:tc>
          <w:tcPr>
            <w:tcW w:w="7434" w:type="dxa"/>
            <w:tcBorders>
              <w:top w:val="single" w:color="auto" w:sz="4" w:space="0"/>
              <w:left w:val="nil"/>
              <w:bottom w:val="single" w:color="auto" w:sz="4" w:space="0"/>
              <w:right w:val="single" w:color="auto" w:sz="4" w:space="0"/>
            </w:tcBorders>
            <w:noWrap w:val="0"/>
            <w:vAlign w:val="center"/>
          </w:tcPr>
          <w:p w14:paraId="4B1DAACC">
            <w:pPr>
              <w:keepNext w:val="0"/>
              <w:keepLines w:val="0"/>
              <w:pageBreakBefore w:val="0"/>
              <w:kinsoku/>
              <w:wordWrap/>
              <w:overflowPunct/>
              <w:topLinePunct w:val="0"/>
              <w:bidi w:val="0"/>
              <w:snapToGrid/>
              <w:spacing w:line="5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技术参数及要求</w:t>
            </w:r>
          </w:p>
        </w:tc>
        <w:tc>
          <w:tcPr>
            <w:tcW w:w="656" w:type="dxa"/>
            <w:tcBorders>
              <w:top w:val="single" w:color="auto" w:sz="4" w:space="0"/>
              <w:left w:val="nil"/>
              <w:bottom w:val="single" w:color="auto" w:sz="4" w:space="0"/>
              <w:right w:val="single" w:color="auto" w:sz="4" w:space="0"/>
            </w:tcBorders>
            <w:noWrap/>
            <w:vAlign w:val="center"/>
          </w:tcPr>
          <w:p w14:paraId="0BF02C39">
            <w:pPr>
              <w:keepNext w:val="0"/>
              <w:keepLines w:val="0"/>
              <w:pageBreakBefore w:val="0"/>
              <w:kinsoku/>
              <w:wordWrap/>
              <w:overflowPunct/>
              <w:topLinePunct w:val="0"/>
              <w:bidi w:val="0"/>
              <w:snapToGrid/>
              <w:spacing w:line="5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数量</w:t>
            </w:r>
          </w:p>
        </w:tc>
        <w:tc>
          <w:tcPr>
            <w:tcW w:w="740" w:type="dxa"/>
            <w:tcBorders>
              <w:top w:val="single" w:color="auto" w:sz="4" w:space="0"/>
              <w:left w:val="nil"/>
              <w:bottom w:val="single" w:color="auto" w:sz="4" w:space="0"/>
              <w:right w:val="single" w:color="auto" w:sz="4" w:space="0"/>
            </w:tcBorders>
            <w:noWrap/>
            <w:vAlign w:val="center"/>
          </w:tcPr>
          <w:p w14:paraId="42ACB5B2">
            <w:pPr>
              <w:keepNext w:val="0"/>
              <w:keepLines w:val="0"/>
              <w:pageBreakBefore w:val="0"/>
              <w:kinsoku/>
              <w:wordWrap/>
              <w:overflowPunct/>
              <w:topLinePunct w:val="0"/>
              <w:bidi w:val="0"/>
              <w:snapToGrid/>
              <w:spacing w:line="5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单位</w:t>
            </w:r>
          </w:p>
        </w:tc>
        <w:tc>
          <w:tcPr>
            <w:tcW w:w="546" w:type="dxa"/>
            <w:tcBorders>
              <w:top w:val="single" w:color="auto" w:sz="4" w:space="0"/>
              <w:left w:val="nil"/>
              <w:bottom w:val="single" w:color="auto" w:sz="4" w:space="0"/>
              <w:right w:val="single" w:color="auto" w:sz="4" w:space="0"/>
            </w:tcBorders>
            <w:noWrap/>
            <w:vAlign w:val="center"/>
          </w:tcPr>
          <w:p w14:paraId="6E75D967">
            <w:pPr>
              <w:keepNext w:val="0"/>
              <w:keepLines w:val="0"/>
              <w:pageBreakBefore w:val="0"/>
              <w:kinsoku/>
              <w:wordWrap/>
              <w:overflowPunct/>
              <w:topLinePunct w:val="0"/>
              <w:bidi w:val="0"/>
              <w:snapToGrid/>
              <w:spacing w:line="5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备注</w:t>
            </w:r>
          </w:p>
        </w:tc>
      </w:tr>
      <w:tr w14:paraId="33483419">
        <w:tblPrEx>
          <w:tblCellMar>
            <w:top w:w="0" w:type="dxa"/>
            <w:left w:w="108" w:type="dxa"/>
            <w:bottom w:w="0" w:type="dxa"/>
            <w:right w:w="108" w:type="dxa"/>
          </w:tblCellMar>
        </w:tblPrEx>
        <w:trPr>
          <w:trHeight w:val="380" w:hRule="atLeast"/>
        </w:trPr>
        <w:tc>
          <w:tcPr>
            <w:tcW w:w="690" w:type="dxa"/>
            <w:tcBorders>
              <w:top w:val="nil"/>
              <w:left w:val="single" w:color="auto" w:sz="4" w:space="0"/>
              <w:bottom w:val="single" w:color="auto" w:sz="4" w:space="0"/>
              <w:right w:val="single" w:color="auto" w:sz="4" w:space="0"/>
            </w:tcBorders>
            <w:shd w:val="clear" w:color="auto" w:fill="FFFFFF"/>
            <w:noWrap/>
            <w:vAlign w:val="center"/>
          </w:tcPr>
          <w:p w14:paraId="0AA92A13">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w:t>
            </w:r>
          </w:p>
        </w:tc>
        <w:tc>
          <w:tcPr>
            <w:tcW w:w="961" w:type="dxa"/>
            <w:tcBorders>
              <w:top w:val="nil"/>
              <w:left w:val="nil"/>
              <w:bottom w:val="single" w:color="auto" w:sz="4" w:space="0"/>
              <w:right w:val="single" w:color="auto" w:sz="4" w:space="0"/>
            </w:tcBorders>
            <w:shd w:val="clear" w:color="auto" w:fill="FFFFFF"/>
            <w:noWrap w:val="0"/>
            <w:vAlign w:val="center"/>
          </w:tcPr>
          <w:p w14:paraId="3853B9B2">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夜视全彩摄像机</w:t>
            </w:r>
          </w:p>
        </w:tc>
        <w:tc>
          <w:tcPr>
            <w:tcW w:w="7434" w:type="dxa"/>
            <w:tcBorders>
              <w:top w:val="nil"/>
              <w:left w:val="nil"/>
              <w:bottom w:val="single" w:color="auto" w:sz="4" w:space="0"/>
              <w:right w:val="single" w:color="auto" w:sz="4" w:space="0"/>
            </w:tcBorders>
            <w:shd w:val="clear" w:color="auto" w:fill="FFFFFF"/>
            <w:noWrap/>
            <w:vAlign w:val="center"/>
          </w:tcPr>
          <w:p w14:paraId="6262AB90">
            <w:pPr>
              <w:numPr>
                <w:ilvl w:val="0"/>
                <w:numId w:val="2"/>
              </w:numPr>
              <w:jc w:val="both"/>
              <w:rPr>
                <w:rFonts w:hint="eastAsia" w:ascii="Times New Roman" w:hAnsi="Times New Roman" w:cs="宋体"/>
                <w:color w:val="auto"/>
                <w:kern w:val="0"/>
                <w:szCs w:val="21"/>
                <w:lang w:eastAsia="zh-CN" w:bidi="ar"/>
              </w:rPr>
            </w:pPr>
            <w:r>
              <w:rPr>
                <w:rFonts w:hint="eastAsia" w:ascii="Times New Roman" w:hAnsi="Times New Roman" w:eastAsia="宋体" w:cs="宋体"/>
                <w:color w:val="auto"/>
                <w:kern w:val="0"/>
                <w:szCs w:val="21"/>
                <w:lang w:bidi="ar"/>
              </w:rPr>
              <w:t>摄像机靶面尺寸不低于1/1.8英寸；</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w:t>
            </w:r>
            <w:r>
              <w:rPr>
                <w:rFonts w:hint="eastAsia" w:ascii="Times New Roman" w:hAnsi="Times New Roman" w:eastAsia="宋体" w:cs="宋体"/>
                <w:color w:val="auto"/>
                <w:kern w:val="0"/>
                <w:szCs w:val="21"/>
                <w:lang w:bidi="ar"/>
              </w:rPr>
              <w:t>★</w:t>
            </w:r>
            <w:r>
              <w:rPr>
                <w:rFonts w:hint="eastAsia" w:ascii="Times New Roman" w:hAnsi="Times New Roman" w:eastAsia="宋体" w:cs="宋体"/>
                <w:color w:val="auto"/>
                <w:kern w:val="0"/>
                <w:szCs w:val="21"/>
                <w:lang w:bidi="ar"/>
              </w:rPr>
              <w:t>像素不低于400万，最大分辨率不低于2560×1440；</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3、最低照度：0.001lux（彩色模式）；0.0001lux（黑白模式）；0lux（补光灯开启）；</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4、暖光最大补光距离不低于30m；</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5、暖光灯不少于2颗；</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6、镜头类型：定焦；</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7、镜头焦距：2.8mm、3.6mm、6mm可选；</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8、支持内置MIC；</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同一静止场景相同主观图像质量下,设备在H.265编码方式时,开启智能编码功能和不开启智能编码相比,码率节约95%;开启智能编码功能设备处于监看或录像状态,监视画面无明显缺损,物体移动时画面边缘无明显锯齿、拉毛现象,24小时录像码流存储不超过3GB</w:t>
            </w:r>
            <w:r>
              <w:rPr>
                <w:rFonts w:hint="eastAsia" w:ascii="Times New Roman" w:hAnsi="Times New Roman" w:cs="宋体"/>
                <w:color w:val="auto"/>
                <w:kern w:val="0"/>
                <w:szCs w:val="21"/>
                <w:lang w:eastAsia="zh-CN" w:bidi="ar"/>
              </w:rPr>
              <w:t>；</w:t>
            </w:r>
          </w:p>
          <w:p w14:paraId="0D7EDB97">
            <w:pPr>
              <w:numPr>
                <w:ilvl w:val="0"/>
                <w:numId w:val="0"/>
              </w:numPr>
              <w:ind w:left="0" w:leftChars="0" w:firstLine="0" w:firstLineChars="0"/>
              <w:jc w:val="both"/>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10、</w:t>
            </w:r>
            <w:r>
              <w:rPr>
                <w:rFonts w:hint="eastAsia" w:ascii="Times New Roman" w:hAnsi="Times New Roman" w:cs="宋体"/>
                <w:b/>
                <w:color w:val="auto"/>
                <w:kern w:val="0"/>
                <w:szCs w:val="21"/>
                <w:lang w:eastAsia="zh-CN" w:bidi="ar"/>
              </w:rPr>
              <w:t>●</w:t>
            </w:r>
            <w:r>
              <w:rPr>
                <w:rFonts w:hint="eastAsia" w:ascii="Times New Roman" w:hAnsi="Times New Roman" w:eastAsia="宋体" w:cs="宋体"/>
                <w:color w:val="auto"/>
                <w:kern w:val="0"/>
                <w:szCs w:val="21"/>
                <w:lang w:bidi="ar"/>
              </w:rPr>
              <w:t>在IE浏览器下,具有彩色模式、黑白模式设置选项,支持在白天和夜晚均可输出彩色或黑白图像。具有自动、定时、报警触发转换设置选项</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r>
              <w:rPr>
                <w:rFonts w:hint="eastAsia" w:ascii="Times New Roman" w:hAnsi="Times New Roman" w:eastAsia="宋体" w:cs="宋体"/>
                <w:color w:val="auto"/>
                <w:kern w:val="0"/>
                <w:szCs w:val="21"/>
                <w:lang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11、供电方式支持DC12V/PoE；</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12、防护等级不低于IP67</w:t>
            </w:r>
          </w:p>
        </w:tc>
        <w:tc>
          <w:tcPr>
            <w:tcW w:w="656" w:type="dxa"/>
            <w:tcBorders>
              <w:top w:val="nil"/>
              <w:left w:val="nil"/>
              <w:bottom w:val="single" w:color="auto" w:sz="4" w:space="0"/>
              <w:right w:val="single" w:color="auto" w:sz="4" w:space="0"/>
            </w:tcBorders>
            <w:shd w:val="clear" w:color="auto" w:fill="FFFFFF"/>
            <w:noWrap w:val="0"/>
            <w:vAlign w:val="center"/>
          </w:tcPr>
          <w:p w14:paraId="3E2F9AD4">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10</w:t>
            </w:r>
          </w:p>
        </w:tc>
        <w:tc>
          <w:tcPr>
            <w:tcW w:w="740" w:type="dxa"/>
            <w:tcBorders>
              <w:top w:val="nil"/>
              <w:left w:val="single" w:color="auto" w:sz="4" w:space="0"/>
              <w:bottom w:val="single" w:color="auto" w:sz="4" w:space="0"/>
              <w:right w:val="single" w:color="auto" w:sz="4" w:space="0"/>
            </w:tcBorders>
            <w:shd w:val="clear" w:color="auto" w:fill="FFFFFF"/>
            <w:noWrap w:val="0"/>
            <w:vAlign w:val="center"/>
          </w:tcPr>
          <w:p w14:paraId="4534121F">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台</w:t>
            </w:r>
          </w:p>
        </w:tc>
        <w:tc>
          <w:tcPr>
            <w:tcW w:w="546" w:type="dxa"/>
            <w:tcBorders>
              <w:top w:val="nil"/>
              <w:left w:val="single" w:color="auto" w:sz="4" w:space="0"/>
              <w:bottom w:val="single" w:color="auto" w:sz="4" w:space="0"/>
              <w:right w:val="single" w:color="auto" w:sz="4" w:space="0"/>
            </w:tcBorders>
            <w:noWrap w:val="0"/>
            <w:vAlign w:val="center"/>
          </w:tcPr>
          <w:p w14:paraId="6D92AC42">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67939CB9">
        <w:tblPrEx>
          <w:tblCellMar>
            <w:top w:w="0" w:type="dxa"/>
            <w:left w:w="108" w:type="dxa"/>
            <w:bottom w:w="0" w:type="dxa"/>
            <w:right w:w="108" w:type="dxa"/>
          </w:tblCellMar>
        </w:tblPrEx>
        <w:trPr>
          <w:trHeight w:val="585"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969A4E">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2</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E3AF49">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室内枪式摄像机</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B82DFE">
            <w:pPr>
              <w:jc w:val="both"/>
              <w:rPr>
                <w:rFonts w:hint="eastAsia" w:ascii="Times New Roman" w:hAnsi="Times New Roman" w:eastAsia="宋体" w:cs="宋体"/>
                <w:color w:val="auto"/>
                <w:kern w:val="0"/>
                <w:szCs w:val="21"/>
                <w:lang w:bidi="ar"/>
              </w:rPr>
            </w:pPr>
            <w:r>
              <w:rPr>
                <w:rFonts w:hint="eastAsia" w:ascii="Times New Roman" w:hAnsi="Times New Roman" w:eastAsia="宋体" w:cs="宋体"/>
                <w:color w:val="auto"/>
                <w:kern w:val="0"/>
                <w:sz w:val="21"/>
                <w:szCs w:val="21"/>
                <w:lang w:val="en-US" w:eastAsia="zh-CN" w:bidi="ar"/>
              </w:rPr>
              <w:t>1、</w:t>
            </w:r>
            <w:r>
              <w:rPr>
                <w:rFonts w:hint="eastAsia" w:ascii="Times New Roman" w:hAnsi="Times New Roman" w:eastAsia="宋体" w:cs="宋体"/>
                <w:color w:val="auto"/>
                <w:kern w:val="0"/>
                <w:szCs w:val="21"/>
                <w:lang w:bidi="ar"/>
              </w:rPr>
              <w:t>★传感器类型：1/3英寸CMOS；像素：</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400万；最大分辨率：</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2560×1440；</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2、最低照度：0.01lux（彩色模式）；0.001lux（黑白模式）；0lux（补光灯开启）；</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最大补光距离：80m（红外）30m（暖光）；补光灯：2颗（红外灯）；2颗（暖光灯）；</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3、镜头类型：定焦；镜头焦距：3.6mm；镜头光圈：F1.6；视场角：水平：78°；垂直：41°；对角：94°；</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4、智能编码：H.264：支持；H.265：支持；宽动态：支持；内置MIC：支持，内置1个MIC；</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5、报警事件：网络断开；IP冲突；非法访问；动态检测；视频遮挡；音频异常侦测；安全异常；</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6、接入标准：ONVIF（Profile S &amp; Profile T）；CGI；GB/T28181-2022；预览最大用户数：6个（总带宽：24M）；</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7、供电方式：DC12V/PoE；</w:t>
            </w:r>
          </w:p>
          <w:p w14:paraId="48C772D7">
            <w:pPr>
              <w:widowControl/>
              <w:numPr>
                <w:ilvl w:val="0"/>
                <w:numId w:val="0"/>
              </w:numPr>
              <w:ind w:left="0" w:leftChars="0" w:firstLine="0" w:firstLineChars="0"/>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cs="宋体"/>
                <w:color w:val="auto"/>
                <w:kern w:val="0"/>
                <w:szCs w:val="21"/>
                <w:lang w:val="en-US" w:eastAsia="zh-CN" w:bidi="ar"/>
              </w:rPr>
              <w:t>8、</w:t>
            </w:r>
            <w:r>
              <w:rPr>
                <w:rFonts w:hint="eastAsia" w:ascii="Times New Roman" w:hAnsi="Times New Roman" w:eastAsia="宋体" w:cs="宋体"/>
                <w:color w:val="auto"/>
                <w:kern w:val="0"/>
                <w:szCs w:val="21"/>
                <w:lang w:bidi="ar"/>
              </w:rPr>
              <w:t>防护等级：IP67</w:t>
            </w:r>
            <w:r>
              <w:rPr>
                <w:rFonts w:hint="eastAsia" w:ascii="Times New Roman" w:hAnsi="Times New Roman" w:cs="宋体"/>
                <w:color w:val="auto"/>
                <w:kern w:val="0"/>
                <w:szCs w:val="21"/>
                <w:lang w:eastAsia="zh-CN" w:bidi="ar"/>
              </w:rPr>
              <w:t>。</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6CF3B7">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110</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241BCF">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1E00B8B8">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39166B77">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42BE5E">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3</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138503">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结构化摄像机</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0E8995">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1、★采用双镜头，独立双舱一体化设计，灵动自由舱可实现360°环视全场景覆盖，支持多智能、分区补光等功能。</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2、内置GPU芯片，支持深度学习算法，有效提升检测准确率</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3、双通道均支持独立电动云台，通道1(细节)垂直旋转范围不小于-5°~30°，水平旋转范围不小于0°~355°，通道2(全景)垂直旋转范围不小于-5°~30°。</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4、支持多种智能资源切换：通道1(细节)支持视频结构化、通用行为分析、人脸识别、人脸检测、道路监控、人数统计，通道2(全景)为普通监控。</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w:t>
            </w:r>
            <w:r>
              <w:rPr>
                <w:rFonts w:hint="eastAsia" w:ascii="Times New Roman" w:hAnsi="Times New Roman" w:cs="宋体"/>
                <w:b/>
                <w:color w:val="auto"/>
                <w:kern w:val="0"/>
                <w:szCs w:val="21"/>
                <w:lang w:eastAsia="zh-CN" w:bidi="ar"/>
              </w:rPr>
              <w:t>●</w:t>
            </w:r>
            <w:r>
              <w:rPr>
                <w:rFonts w:hint="eastAsia" w:ascii="Times New Roman" w:hAnsi="Times New Roman" w:eastAsia="宋体" w:cs="宋体"/>
                <w:color w:val="auto"/>
                <w:kern w:val="0"/>
                <w:szCs w:val="21"/>
                <w:lang w:bidi="ar"/>
              </w:rPr>
              <w:t>支持智能分区补光,实现画面多区域补光独立控制,并支持根据画面变化进行自动调节补光强度</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r>
              <w:rPr>
                <w:rFonts w:hint="eastAsia" w:ascii="Times New Roman" w:hAnsi="Times New Roman" w:eastAsia="宋体" w:cs="宋体"/>
                <w:color w:val="auto"/>
                <w:kern w:val="0"/>
                <w:szCs w:val="21"/>
                <w:lang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6、支持视频结构化：支持机动车、非机动车、人脸、人员等目标的抓拍和属性识别。</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7、支持人脸识别：支持跟踪，支持优选，支持抓拍，支持上报最优的人脸抓图，支持人脸增强，人脸曝光，支持人脸属性提取，支持6种属性，8种表情。</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8、支持车辆结构化：支持正向/背向行驶车辆抓拍，支持车牌、车牌颜色、车标、车系、车身颜色、车辆类型。</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 双通道采用高性能传感器，通道1(细节)采用</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400万像素1/1.8英寸CMOS图像传感器，低照度效果好，图像清晰度高；通道2(全景)采用</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400万像素1/2.8英寸CMOS图像传感器。</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10、最大可输出</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400万( 2688×1520 )@25fps。</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11、</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t>设备应内置水平仪,可检测设备是否水平状态，机身外壳内嵌圆形水平仪,可检测设备前后方向、左右方向的水平程度</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r>
              <w:rPr>
                <w:rFonts w:hint="eastAsia" w:ascii="Times New Roman" w:hAnsi="Times New Roman" w:eastAsia="宋体" w:cs="宋体"/>
                <w:color w:val="auto"/>
                <w:kern w:val="0"/>
                <w:szCs w:val="21"/>
                <w:lang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12、支持H.265编码，压缩比高，实现超低码流传输</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13、内置高效柔光双色补光灯，最大补光距离100米。</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14、支持走廊模式，宽动态，3D降噪，强光抑制，背光补偿，数字水印，适用不同监控环境。</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15、支持ROI，SMART H.264/H.265，灵活编码，适用不同带宽和存储环境。</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16、最大支持512G Micro SD卡，内置扬声器和双MIC。</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17、支持水平仪，方便工程安装。</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18、支持</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IP67防护等级。</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19、支持DC12V供电方式，方便工程安装。</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AADE7E">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10</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78E408">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1F9348C0">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0B70F222">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B981C5">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4</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5A2C93">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多目结构化摄像机</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3C3B7A">
            <w:pPr>
              <w:widowControl/>
              <w:numPr>
                <w:ilvl w:val="0"/>
                <w:numId w:val="3"/>
              </w:numPr>
              <w:jc w:val="left"/>
              <w:textAlignment w:val="center"/>
              <w:rPr>
                <w:rFonts w:hint="eastAsia" w:ascii="Times New Roman" w:hAnsi="Times New Roman" w:eastAsia="宋体" w:cs="宋体"/>
                <w:b/>
                <w:bCs/>
                <w:color w:val="auto"/>
                <w:kern w:val="0"/>
                <w:szCs w:val="21"/>
                <w:lang w:bidi="ar"/>
              </w:rPr>
            </w:pPr>
            <w:r>
              <w:rPr>
                <w:rFonts w:hint="eastAsia" w:ascii="Times New Roman" w:hAnsi="Times New Roman" w:eastAsia="宋体" w:cs="宋体"/>
                <w:color w:val="auto"/>
                <w:kern w:val="0"/>
                <w:szCs w:val="21"/>
                <w:lang w:bidi="ar"/>
              </w:rPr>
              <w:t>由一个全景摄像机、1个细节摄像机和1个细节球机组成，可同时输出3路视频图像。</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2、全景摄像机CMOS靶面尺寸不小于1/1.8英寸，细节摄像机和细节球机CMOS靶面尺寸均不小于1/1.2英寸</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3、全景摄像机具有不小于2颗补光灯、细节摄像机具有不小于4颗补光灯、球型摄像机具有不小于6颗补光灯；具备不少于1个音频输入接口、1个音频输出接口、2个报警输入接口、1个报警输出接口；</w:t>
            </w:r>
          </w:p>
          <w:p w14:paraId="6D257833">
            <w:pPr>
              <w:widowControl/>
              <w:numPr>
                <w:ilvl w:val="0"/>
                <w:numId w:val="4"/>
              </w:numPr>
              <w:jc w:val="left"/>
              <w:textAlignment w:val="center"/>
              <w:rPr>
                <w:rFonts w:hint="eastAsia" w:ascii="Times New Roman" w:hAnsi="Times New Roman" w:eastAsia="宋体" w:cs="宋体"/>
                <w:color w:val="auto"/>
                <w:kern w:val="0"/>
                <w:szCs w:val="21"/>
                <w:lang w:bidi="ar"/>
              </w:rPr>
            </w:pPr>
            <w:r>
              <w:rPr>
                <w:rFonts w:hint="eastAsia" w:ascii="Times New Roman" w:hAnsi="Times New Roman" w:eastAsia="宋体" w:cs="宋体"/>
                <w:color w:val="auto"/>
                <w:kern w:val="0"/>
                <w:szCs w:val="21"/>
                <w:lang w:bidi="ar"/>
              </w:rPr>
              <w:t>旋转范围：全景摄像机：垂直-5°~5°；细节摄像机：水平：-5°~5°，垂直-5°~5°；细节球机：水平：0°~340°，垂直-10°~90°；</w:t>
            </w:r>
          </w:p>
          <w:p w14:paraId="75CA3491">
            <w:pPr>
              <w:widowControl/>
              <w:numPr>
                <w:ilvl w:val="0"/>
                <w:numId w:val="4"/>
              </w:numPr>
              <w:jc w:val="left"/>
              <w:textAlignment w:val="center"/>
              <w:rPr>
                <w:rFonts w:hint="eastAsia" w:ascii="Times New Roman" w:hAnsi="Times New Roman" w:eastAsia="宋体" w:cs="宋体"/>
                <w:color w:val="auto"/>
                <w:kern w:val="0"/>
                <w:szCs w:val="21"/>
                <w:lang w:bidi="ar"/>
              </w:rPr>
            </w:pPr>
            <w:r>
              <w:rPr>
                <w:rFonts w:hint="eastAsia" w:ascii="Times New Roman" w:hAnsi="Times New Roman" w:eastAsia="宋体" w:cs="宋体"/>
                <w:color w:val="auto"/>
                <w:kern w:val="0"/>
                <w:szCs w:val="21"/>
                <w:lang w:bidi="ar"/>
              </w:rPr>
              <w:t>★全景摄像机最大分辨率</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2688x1520；细节摄像机和细节球机：最大分辨率</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3840x2160</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 智能模式可设置为独立模式与联动模式，并可设置按时间段进行独立模式及联动模式的巡航切换，切换智能模式时设备不重启，新智能模式即可生效；</w:t>
            </w:r>
          </w:p>
          <w:p w14:paraId="5273376B">
            <w:pPr>
              <w:widowControl/>
              <w:numPr>
                <w:ilvl w:val="0"/>
                <w:numId w:val="4"/>
              </w:numPr>
              <w:jc w:val="left"/>
              <w:textAlignment w:val="center"/>
              <w:rPr>
                <w:rFonts w:hint="eastAsia" w:ascii="Times New Roman" w:hAnsi="Times New Roman" w:eastAsia="宋体" w:cs="宋体"/>
                <w:color w:val="auto"/>
                <w:kern w:val="0"/>
                <w:szCs w:val="21"/>
                <w:lang w:bidi="ar"/>
              </w:rPr>
            </w:pPr>
            <w:r>
              <w:rPr>
                <w:rFonts w:hint="eastAsia" w:ascii="Times New Roman" w:hAnsi="Times New Roman" w:eastAsia="宋体" w:cs="宋体"/>
                <w:color w:val="auto"/>
                <w:kern w:val="0"/>
                <w:szCs w:val="21"/>
                <w:lang w:bidi="ar"/>
              </w:rPr>
              <w:t>在联动模式下，全景通道、细节通道和细节球机通道可进行结构化抓拍和属性分析，在全景摄像机检测到目标后，可联动细节球机跟踪并进行抓拍和属性分析，全景检测宽度应不小于15m</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9、独立模式下，全景通道和细节通道均支持视频结构化抓拍，细节球机通道支持单独开启视频结构化抓拍或人脸目标识别，3个通道可同时运行进行智能检测</w:t>
            </w:r>
            <w:r>
              <w:rPr>
                <w:rFonts w:hint="eastAsia" w:ascii="Times New Roman" w:hAnsi="Times New Roman" w:cs="宋体"/>
                <w:color w:val="auto"/>
                <w:kern w:val="0"/>
                <w:szCs w:val="21"/>
                <w:lang w:eastAsia="zh-CN" w:bidi="ar"/>
              </w:rPr>
              <w:t>；</w:t>
            </w:r>
          </w:p>
          <w:p w14:paraId="287DDEA9">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10、</w:t>
            </w:r>
            <w:r>
              <w:rPr>
                <w:rFonts w:hint="eastAsia" w:ascii="Times New Roman" w:hAnsi="Times New Roman" w:cs="宋体"/>
                <w:b/>
                <w:color w:val="auto"/>
                <w:kern w:val="0"/>
                <w:szCs w:val="21"/>
                <w:lang w:eastAsia="zh-CN" w:bidi="ar"/>
              </w:rPr>
              <w:t>●</w:t>
            </w:r>
            <w:r>
              <w:rPr>
                <w:rFonts w:hint="eastAsia" w:ascii="Times New Roman" w:hAnsi="Times New Roman" w:eastAsia="宋体" w:cs="宋体"/>
                <w:color w:val="auto"/>
                <w:kern w:val="0"/>
                <w:szCs w:val="21"/>
                <w:lang w:bidi="ar"/>
              </w:rPr>
              <w:t>支持3个通道玻璃加热独立控制，可对镜头前盖玻璃加热，去除镜头玻璃上的冰状和水状附着物；细节摄像机和细节球机焦距≥60mm；为方便安装，产品需支持快装支架安装：吊装、壁装均支持快速支架安装</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6D6FA1">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910900">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6EEF85B8">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4D7FC30A">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61F900">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5</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A1A6D9">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消防火灾监测摄像机</w:t>
            </w:r>
          </w:p>
        </w:tc>
        <w:tc>
          <w:tcPr>
            <w:tcW w:w="7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80E6F">
            <w:pPr>
              <w:widowControl/>
              <w:numPr>
                <w:ilvl w:val="0"/>
                <w:numId w:val="5"/>
              </w:numPr>
              <w:jc w:val="left"/>
              <w:textAlignment w:val="center"/>
              <w:rPr>
                <w:rFonts w:hint="eastAsia" w:ascii="Times New Roman" w:hAnsi="Times New Roman" w:eastAsia="宋体" w:cs="宋体"/>
                <w:b/>
                <w:bCs/>
                <w:color w:val="auto"/>
                <w:kern w:val="0"/>
                <w:szCs w:val="21"/>
                <w:lang w:bidi="ar"/>
              </w:rPr>
            </w:pPr>
            <w:r>
              <w:rPr>
                <w:rFonts w:hint="eastAsia" w:ascii="Times New Roman" w:hAnsi="Times New Roman" w:eastAsia="宋体" w:cs="宋体"/>
                <w:color w:val="auto"/>
                <w:kern w:val="0"/>
                <w:szCs w:val="21"/>
                <w:lang w:bidi="ar"/>
              </w:rPr>
              <w:t>非制冷氧化钒焦平面探测器，分辨率</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256×192；</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2、可见光采用400万 CMOS图像传感器，监控更清晰</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3、★支持火点探测报警、绊线入侵、区域入侵、多种触发规则联动动作、目标过滤、吸烟、打电话等多种智能功能</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4、测温范围-20℃~+550℃，精度Max（±2℃，±2%）</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5、内置白光警示灯和扬声器，支持声光警戒，可及时进行事中干预</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6、支持红外补光，最大补光距离≥30m，支持双目融合</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7、支持DC12V±20%宽压供电，支持PoE供电</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8、设备应支持防太阳灼伤功能，支持太阳光直射5分钟后，设备在30分钟内可恢复正常视频图像输出；当开启挡片功能后，检测到太阳直射时，可自动挡片遮挡</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9、设备应支持断网续传功能，当网络断开后，样机可将录像文件存储至内置SD卡中，当网络恢复后，再将这些录像文件上传至NAS服务器或指定的FTP服务器中</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10、设备的噪声等效温差（NETD）应≤10mk</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11、设备应支持智能分析功能，可见光通道应具有区域入侵、进入区域、离开区域、物品遗留、徘徊检测等功能</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12、设备应支持火点检测功能，在IE浏览器下，可对监视画面中的火点进行识别、检验并框选，可给出报警提示，联动语音提示，警戒灯闪烁报警</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13、设备应支持声光报警功能，当智能事件触发时，可通过内置的扬声器，补光灯报警装置给出提示</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14、</w:t>
            </w:r>
            <w:r>
              <w:rPr>
                <w:rFonts w:hint="eastAsia" w:ascii="Times New Roman" w:hAnsi="Times New Roman" w:cs="宋体"/>
                <w:b/>
                <w:color w:val="auto"/>
                <w:kern w:val="0"/>
                <w:szCs w:val="21"/>
                <w:lang w:eastAsia="zh-CN" w:bidi="ar"/>
              </w:rPr>
              <w:t>●</w:t>
            </w:r>
            <w:r>
              <w:rPr>
                <w:rFonts w:hint="eastAsia" w:ascii="Times New Roman" w:hAnsi="Times New Roman" w:eastAsia="宋体" w:cs="宋体"/>
                <w:color w:val="auto"/>
                <w:kern w:val="0"/>
                <w:szCs w:val="21"/>
                <w:lang w:bidi="ar"/>
              </w:rPr>
              <w:t>应支持区域遮盖功能，可在监视画面上设置不少于80个不规则四边形遮盖区域，区域大小、位置可设置、每块区域可设置不同的颜色和马赛克；应支持区域视频质量增强设置，热成像视频图像具有中心点25%、中心点50%、中心点 75%、 自定义、全屏、底部、中部、 顶部区域等8种图像细节增强模式选项</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p>
          <w:p w14:paraId="4F09731E">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15、设备应支持网络自适应能力，在丢包率设置为35%的网络环境下，可正常显示监控画面</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16、防护等级</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IP67。</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31EA1D">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3</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CCC55F">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4C5F13AB">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47480C74">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0D9A91">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6</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F3210B">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室外云台摄像机</w:t>
            </w:r>
          </w:p>
        </w:tc>
        <w:tc>
          <w:tcPr>
            <w:tcW w:w="7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77B04">
            <w:pPr>
              <w:widowControl/>
              <w:numPr>
                <w:ilvl w:val="0"/>
                <w:numId w:val="0"/>
              </w:numPr>
              <w:jc w:val="left"/>
              <w:textAlignment w:val="center"/>
              <w:rPr>
                <w:rFonts w:hint="eastAsia" w:ascii="Times New Roman" w:hAnsi="Times New Roman" w:eastAsia="宋体" w:cs="宋体"/>
                <w:color w:val="auto"/>
                <w:sz w:val="20"/>
                <w:szCs w:val="20"/>
              </w:rPr>
            </w:pPr>
            <w:r>
              <w:rPr>
                <w:rFonts w:hint="eastAsia" w:ascii="Times New Roman" w:hAnsi="Times New Roman" w:eastAsia="宋体" w:cs="宋体"/>
                <w:color w:val="auto"/>
                <w:kern w:val="0"/>
                <w:szCs w:val="21"/>
                <w:lang w:bidi="ar"/>
              </w:rPr>
              <w:t>1、★</w:t>
            </w:r>
            <w:r>
              <w:rPr>
                <w:rFonts w:hint="eastAsia" w:ascii="Times New Roman" w:hAnsi="Times New Roman" w:eastAsia="宋体" w:cs="宋体"/>
                <w:color w:val="auto"/>
                <w:kern w:val="0"/>
                <w:szCs w:val="21"/>
                <w:lang w:val="en-US" w:eastAsia="zh-CN" w:bidi="ar"/>
              </w:rPr>
              <w:t>不低于</w:t>
            </w:r>
            <w:r>
              <w:rPr>
                <w:rFonts w:hint="eastAsia" w:ascii="Times New Roman" w:hAnsi="Times New Roman" w:eastAsia="宋体" w:cs="宋体"/>
                <w:color w:val="auto"/>
                <w:kern w:val="0"/>
                <w:szCs w:val="21"/>
                <w:lang w:bidi="ar"/>
              </w:rPr>
              <w:t>7寸球机，内置2个GPU芯片，由全景摄像机和细节摄像机组成，均不低于400万像素</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2、细节相机支持不小于32倍光学变倍、16倍数字变倍/细节相机支持不小于24倍光学变倍，16倍数字变倍</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t>全景摄像机与细节摄像机互为180°夹角监控</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p>
          <w:p w14:paraId="4B622A6B">
            <w:pPr>
              <w:widowControl/>
              <w:numPr>
                <w:ilvl w:val="0"/>
                <w:numId w:val="0"/>
              </w:numPr>
              <w:jc w:val="left"/>
              <w:textAlignment w:val="center"/>
              <w:rPr>
                <w:rFonts w:hint="eastAsia" w:ascii="Times New Roman" w:hAnsi="Times New Roman" w:eastAsia="宋体" w:cs="宋体"/>
                <w:color w:val="auto"/>
                <w:sz w:val="20"/>
                <w:szCs w:val="20"/>
              </w:rPr>
            </w:pPr>
            <w:r>
              <w:rPr>
                <w:rFonts w:hint="eastAsia" w:cs="宋体"/>
                <w:b/>
                <w:bCs/>
                <w:color w:val="auto"/>
                <w:kern w:val="0"/>
                <w:szCs w:val="21"/>
                <w:lang w:val="en-US" w:eastAsia="zh-CN" w:bidi="ar"/>
              </w:rPr>
              <w:t>4、支</w:t>
            </w:r>
            <w:r>
              <w:rPr>
                <w:rFonts w:hint="eastAsia" w:ascii="Times New Roman" w:hAnsi="Times New Roman" w:eastAsia="宋体" w:cs="宋体"/>
                <w:color w:val="auto"/>
                <w:kern w:val="0"/>
                <w:szCs w:val="21"/>
                <w:lang w:bidi="ar"/>
              </w:rPr>
              <w:t>持快速智能切换，当更换智能模式时设备不重启，新智能使能后即可生效</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5、支持1路音频输入和1路音频输出</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6、内置2路报警输入和1路报警输出，支持报警联动功能</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7、支持国密算法 SM1、SM2、SM3、SM4，支持GB35114 A级</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8、全景摄像机具有具备4个暖光灯，细节摄像机具备4个红外灯、2个白光灯，有声光警戒报警功能</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9、设备可对进入警戒区域的人和车辆，触发报警之后，进行抓拍，并联动白光闪烁的方式进行实时预警，支持内置喇叭设备实现声音警示并具有联动智能跟踪功能</w:t>
            </w:r>
            <w:r>
              <w:rPr>
                <w:rFonts w:hint="eastAsia" w:ascii="Times New Roman" w:hAnsi="Times New Roman" w:cs="宋体"/>
                <w:color w:val="auto"/>
                <w:kern w:val="0"/>
                <w:szCs w:val="21"/>
                <w:lang w:eastAsia="zh-CN" w:bidi="ar"/>
              </w:rPr>
              <w:t>；</w:t>
            </w:r>
          </w:p>
          <w:p w14:paraId="29C08D52">
            <w:pPr>
              <w:widowControl/>
              <w:numPr>
                <w:ilvl w:val="0"/>
                <w:numId w:val="4"/>
              </w:numPr>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道可进行周界检测并联动细节通道跟踪目标，当设置为独立态时，全景通道可独立进行周界检测同时细节通道独立进行人脸检测；</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A1291C">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3</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0EA37F">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330A3852">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3347070D">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B46A3B">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7</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A02957">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全景球型摄像机</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413A62">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1、具有不低于2路全景摄像机和1路细节摄像机，CMOS靶面尺寸均不低于1/1.8英寸；</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2、全景分辨率不低于3840×1080，细节分辨率不低于2560×1440；</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3、内置GPU芯片，支持深度学习算法，有效提升检测准确率；</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4、细节相机支持不低于33倍光学变倍，16倍数字变倍，最大焦距不低于192mm；</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5、全景不低于4颗白光灯，细节不低于6颗红外灯、2 颗白光灯，白光不低于30米，红外不低于200米；</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t>全景通道可输出2个镜头无缝拼接的全景图像，纵向拼接偏差像素≤4个像素点；全景通道水平视场角≥200°；全景通道可垂直旋转，旋转范围≥12°</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7、细节支持水平0°～360°连续旋转，垂直-30°～+90°；</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8、细节通道支持视频结构化（机非人抓拍及全属性）、人脸检测、周界防范切换，支持快速智能切换，当更换智能模式时设备不重启，新智能使能后即可生效；</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9、支持机动车抓拍、机动车属性提取，支持非机动车抓拍、非机动车属性提取，支持人体抓拍、人体属性提取，支持人脸抓拍、人脸属性提取；</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10、支持不低于300个预置点，支持8条巡航路径；</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11、应支持声警戒，支持不低于25条语音报警内容，支持自定义语音内容导入；</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12、全景通道应支持AR标签，可通过浏览器添加不低于200个物体标签,可开启或关闭标签显示功能,显示透明度可设置</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13、应支持7路报警输入和2路报警输出，支持报警联动功能，支持1路音频输入和1路音频输出</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14、内置喇叭应可随设备的转动进行水平、垂直不同方向的定向播放；喇叭支持水平0~360°，垂直-30~90°旋转；</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15、应支持IP67防护等级，8000V防雷、防浪涌和防突波保护</w:t>
            </w:r>
            <w:r>
              <w:rPr>
                <w:rFonts w:hint="eastAsia"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16、应支持GA/T1400、GB/35114A；</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7D2979">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2</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4CC4EC">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68ED6CB2">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312D6B67">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E2C72F">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8</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675414">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电梯摄像机</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6A5EC3">
            <w:pPr>
              <w:widowControl/>
              <w:numPr>
                <w:ilvl w:val="0"/>
                <w:numId w:val="6"/>
              </w:numPr>
              <w:jc w:val="left"/>
              <w:textAlignment w:val="center"/>
              <w:rPr>
                <w:rFonts w:hint="eastAsia" w:ascii="Times New Roman" w:hAnsi="Times New Roman" w:eastAsia="宋体" w:cs="宋体"/>
                <w:b/>
                <w:bCs/>
                <w:color w:val="auto"/>
                <w:kern w:val="0"/>
                <w:szCs w:val="21"/>
                <w:lang w:bidi="ar"/>
              </w:rPr>
            </w:pPr>
            <w:r>
              <w:rPr>
                <w:rFonts w:hint="eastAsia" w:ascii="Times New Roman" w:hAnsi="Times New Roman" w:eastAsia="宋体" w:cs="宋体"/>
                <w:color w:val="auto"/>
                <w:kern w:val="0"/>
                <w:szCs w:val="21"/>
                <w:lang w:bidi="ar"/>
              </w:rPr>
              <w:t>内置1颗GPU芯片，1个CMOS图像传感器，内置继电器，内置1颗红外补光灯，1颗暖光警戒灯；</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2、支持报警1进1出（报警输出为干式报警，支持常开常闭），最大支持256G Micro SD卡，内置MIC，内置扬声器</w:t>
            </w:r>
            <w:r>
              <w:rPr>
                <w:rFonts w:hint="eastAsia"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3、★支持镜头焦距2.8mm，光圈F1.6，可输出400万（2688×1520）25fps</w:t>
            </w:r>
            <w:r>
              <w:rPr>
                <w:rFonts w:hint="eastAsia"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4、支持工作电压DC12V（±30%）；POE （802.3af）</w:t>
            </w:r>
            <w:r>
              <w:rPr>
                <w:rFonts w:hint="eastAsia"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5、开启和不开启智能编码相比，码流节约95%；</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6、修改IP地址完成后无需重启即可生效；</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7、当相机镜头被遮挡时可给出报警提示并联动语音报警和白光警戒，遮挡比例可设置；</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8、支持同时开启视频遮挡和电瓶车入梯检测功能，当相机镜头被遮挡条件下电瓶车进入电梯，撤出遮挡物后应给出报警提示，直到电瓶车离开电梯，报警结束</w:t>
            </w:r>
          </w:p>
          <w:p w14:paraId="5F23AFF0">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9、相机内置继电器，可通过干节点报警输出；</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10、可开启/关闭TOF遮挡报警功能，可对视频画面中的人为遮挡行为进行检测报警；</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11、支持内置语音播放,播放次数可设置为1~10次;可将白光设置为常亮和闪烁2种模式,闪烁频率、闪烁时长、闪烁周期可设</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12、支持快捷配置功能，可在预览画面开启/关闭“快捷配置”页面，对曝光参数、OSD、智能资源分配模式等参数进行配置，并可一键恢复为默认配置；</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13、具有楼层显示传感器，可对接设备，显示电梯所在楼层和运行速度参数；</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DD5E6A">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2</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705214">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18F1F9E3">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0BB8B948">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2E854F">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9</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A5FD7B">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电梯无线网桥</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962CE1">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1、</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100m 2.4G电梯网桥，包含发射端和接收端两个设备；</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2、最大桥接速率</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300Mbps，内置定向天线水平</w:t>
            </w:r>
            <w:r>
              <w:rPr>
                <w:rFonts w:hint="eastAsia" w:ascii="Times New Roman" w:hAnsi="Times New Roman" w:cs="宋体"/>
                <w:color w:val="auto"/>
                <w:kern w:val="0"/>
                <w:szCs w:val="21"/>
                <w:lang w:val="en-US" w:eastAsia="zh-CN" w:bidi="ar"/>
              </w:rPr>
              <w:t>约</w:t>
            </w:r>
            <w:r>
              <w:rPr>
                <w:rFonts w:hint="eastAsia" w:ascii="Times New Roman" w:hAnsi="Times New Roman" w:eastAsia="宋体" w:cs="宋体"/>
                <w:color w:val="auto"/>
                <w:kern w:val="0"/>
                <w:szCs w:val="21"/>
                <w:lang w:bidi="ar"/>
              </w:rPr>
              <w:t>60度，垂直</w:t>
            </w:r>
            <w:r>
              <w:rPr>
                <w:rFonts w:hint="eastAsia" w:ascii="Times New Roman" w:hAnsi="Times New Roman" w:cs="宋体"/>
                <w:color w:val="auto"/>
                <w:kern w:val="0"/>
                <w:szCs w:val="21"/>
                <w:lang w:val="en-US" w:eastAsia="zh-CN" w:bidi="ar"/>
              </w:rPr>
              <w:t>约</w:t>
            </w:r>
            <w:r>
              <w:rPr>
                <w:rFonts w:hint="eastAsia" w:ascii="Times New Roman" w:hAnsi="Times New Roman" w:eastAsia="宋体" w:cs="宋体"/>
                <w:color w:val="auto"/>
                <w:kern w:val="0"/>
                <w:szCs w:val="21"/>
                <w:lang w:bidi="ar"/>
              </w:rPr>
              <w:t>30度；</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3、支持壁挂/抱杆等安装方式，工作温度：-10℃～+55℃；</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1D02F7">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2</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4978BC">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40AEDBF3">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5EBBBA40">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9A323E">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10</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21D1BD">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网络防雷器</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2ACE0A">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cs="宋体"/>
                <w:color w:val="auto"/>
                <w:kern w:val="0"/>
                <w:szCs w:val="21"/>
                <w:lang w:val="en-US" w:eastAsia="zh-CN" w:bidi="ar"/>
              </w:rPr>
              <w:t>1、</w:t>
            </w:r>
            <w:r>
              <w:rPr>
                <w:rFonts w:hint="eastAsia" w:ascii="Times New Roman" w:hAnsi="Times New Roman" w:eastAsia="宋体" w:cs="宋体"/>
                <w:color w:val="auto"/>
                <w:kern w:val="0"/>
                <w:szCs w:val="21"/>
                <w:lang w:bidi="ar"/>
              </w:rPr>
              <w:t>电源网络二合一防雷器；电源：DC12V/AC24V；网络1000M，二级防护；</w:t>
            </w:r>
            <w:r>
              <w:rPr>
                <w:rFonts w:hint="eastAsia" w:ascii="Times New Roman" w:hAnsi="Times New Roman" w:eastAsia="宋体" w:cs="宋体"/>
                <w:color w:val="auto"/>
                <w:kern w:val="0"/>
                <w:szCs w:val="21"/>
                <w:lang w:bidi="ar"/>
              </w:rPr>
              <w:br w:type="textWrapping"/>
            </w:r>
            <w:r>
              <w:rPr>
                <w:rFonts w:hint="eastAsia" w:ascii="Times New Roman" w:hAnsi="Times New Roman" w:cs="宋体"/>
                <w:color w:val="auto"/>
                <w:kern w:val="0"/>
                <w:szCs w:val="21"/>
                <w:lang w:val="en-US" w:eastAsia="zh-CN" w:bidi="ar"/>
              </w:rPr>
              <w:t>2、</w:t>
            </w:r>
            <w:r>
              <w:rPr>
                <w:rFonts w:hint="eastAsia" w:ascii="Times New Roman" w:hAnsi="Times New Roman" w:eastAsia="宋体" w:cs="宋体"/>
                <w:color w:val="auto"/>
                <w:kern w:val="0"/>
                <w:szCs w:val="21"/>
                <w:lang w:bidi="ar"/>
              </w:rPr>
              <w:t>与被保护设备匹配度高，应用范围广，可靠性高；</w:t>
            </w:r>
            <w:r>
              <w:rPr>
                <w:rFonts w:hint="eastAsia" w:ascii="Times New Roman" w:hAnsi="Times New Roman" w:eastAsia="宋体" w:cs="宋体"/>
                <w:color w:val="auto"/>
                <w:kern w:val="0"/>
                <w:szCs w:val="21"/>
                <w:lang w:bidi="ar"/>
              </w:rPr>
              <w:br w:type="textWrapping"/>
            </w:r>
            <w:r>
              <w:rPr>
                <w:rFonts w:hint="eastAsia" w:ascii="Times New Roman" w:hAnsi="Times New Roman" w:cs="宋体"/>
                <w:color w:val="auto"/>
                <w:kern w:val="0"/>
                <w:szCs w:val="21"/>
                <w:lang w:val="en-US" w:eastAsia="zh-CN" w:bidi="ar"/>
              </w:rPr>
              <w:t>3、支持</w:t>
            </w:r>
            <w:r>
              <w:rPr>
                <w:rFonts w:hint="eastAsia" w:ascii="Times New Roman" w:hAnsi="Times New Roman" w:eastAsia="宋体" w:cs="宋体"/>
                <w:color w:val="auto"/>
                <w:kern w:val="0"/>
                <w:szCs w:val="21"/>
                <w:lang w:bidi="ar"/>
              </w:rPr>
              <w:t>35mm导轨安装，简单方便；</w:t>
            </w:r>
            <w:r>
              <w:rPr>
                <w:rFonts w:hint="eastAsia" w:ascii="Times New Roman" w:hAnsi="Times New Roman" w:eastAsia="宋体" w:cs="宋体"/>
                <w:color w:val="auto"/>
                <w:kern w:val="0"/>
                <w:szCs w:val="21"/>
                <w:lang w:bidi="ar"/>
              </w:rPr>
              <w:br w:type="textWrapping"/>
            </w:r>
            <w:r>
              <w:rPr>
                <w:rFonts w:hint="eastAsia" w:ascii="Times New Roman" w:hAnsi="Times New Roman" w:cs="宋体"/>
                <w:color w:val="auto"/>
                <w:kern w:val="0"/>
                <w:szCs w:val="21"/>
                <w:lang w:val="en-US" w:eastAsia="zh-CN" w:bidi="ar"/>
              </w:rPr>
              <w:t>4、</w:t>
            </w:r>
            <w:r>
              <w:rPr>
                <w:rFonts w:hint="eastAsia" w:ascii="Times New Roman" w:hAnsi="Times New Roman" w:eastAsia="宋体" w:cs="宋体"/>
                <w:color w:val="auto"/>
                <w:kern w:val="0"/>
                <w:szCs w:val="21"/>
                <w:lang w:bidi="ar"/>
              </w:rPr>
              <w:t>插入损耗低，响应快速；</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7A8184">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870DE6">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35B29A9A">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70D19224">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A4D583">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11</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79F333">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管理平台软件</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146B05">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1、应采用弹性可扩展的架构，安全可控，根据实际需求叠加业务系统，不低于200路管理授权；</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2、应支持系统管理，角色管理、用户管理、组织管理、学校设置、人员管理、设备管理、卡片管理、车辆管理、日志管理；</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3、应支持资源绑定，可将指定设备和通道绑定业务相关业务资源，并配置录制计划、补录计划、盘组配置、存储配置；</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4、应支持视频上墙查看；</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5、应支持配置区域离岗检测，区域人数上限/下限检测、计划人数不符检测，报警可配置联动录像、抓图、云台、报警输出、电视墙、邮件、短信、门禁、打电话、道闸；</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6、应支持为报警事件配置联动动作，包括：联动录像、邮件、短信及新增子系统支持的联动动作（视频弹窗、门禁、抓图、云台等）；</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7、应支持设置报警风暴间隔、报警等级、是否保存、是否启用；</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8、应支持平台上下级联，可查看下级平台的状态和级联网络拓扑结构，可进行数据推送控制；</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9、应支持系统配置、学校/学期设置、节假日设置；</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10、应支持地图组织树在基础组织和逻辑组织间切换，每个逻辑组织有独立的地图配置和点位配置；支持在地图图片管理列表中标记高清大图图片，支持过滤展示正在切片的任务处理进度信息；支持地图组织树按照登录用户有权限的资源点位在基础组织和逻辑组织间切换，为每个逻辑组织配置资源点位信息；支持光</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栅地图的比例尺设置；</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11、应支持访客、消费、巡更、动环、可视对讲、客流等增值业务；</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12、应支持课堂考勤、智慧评估、出入校管理、在线巡查、宿舍管理、资源互动等教育特色业务加载；</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13、应支持对菜单名称、图标、源菜单路径，打开方式，业务描述进行管理，打开方式包含：内部页签打开，浏览器页签及新窗口打开；支持对导入、导出平台excle业务数据进行密码加密；</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14、应支持设备接入服务的分布式集群组建、拆除、单节点拆除，分布式管理包括视频设备接入服务、可视对讲服务、门禁设备接入服务、停车场设备接入服务等；；</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15、应支持停车场场区管理、地图向导、二维码、收缴费等业务，支持车辆进出记录、过车记录等查询；</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16、</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t>应支持客户端全局水印配置功能，支持配置客户端水印的启用/停用、水印内容、水印方向、水印密度、水印透明度参数。水印内容支持使用姓名、证件号码后6位、人员编号后6位、用户名任意一个或者两个字段组合显示</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r>
              <w:rPr>
                <w:rFonts w:hint="eastAsia" w:ascii="Times New Roman" w:hAnsi="Times New Roman" w:eastAsia="宋体" w:cs="宋体"/>
                <w:color w:val="auto"/>
                <w:kern w:val="0"/>
                <w:szCs w:val="21"/>
                <w:lang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17、应支持查看平台运行数据，数据包括：人数统计、车辆统计、访客统计、人脸识别、机动车识别、非机动车识别、昨日消费、园区考勤统计、设备报警、设备运维等信息；</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18、</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t>应支持安全数据库数据概览，支持展示安全运行时间、守护数据总数、守护数据内存、守护表总数；支持按周/按月图形化展示新增保护记录数统计情况；支持按周/按月图形化展示数据库加密解密计算次数统计情况</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r>
              <w:rPr>
                <w:rFonts w:hint="eastAsia" w:ascii="Times New Roman" w:hAnsi="Times New Roman" w:eastAsia="宋体" w:cs="宋体"/>
                <w:color w:val="auto"/>
                <w:kern w:val="0"/>
                <w:szCs w:val="21"/>
                <w:lang w:bidi="ar"/>
              </w:rPr>
              <w:t>。</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A80A24">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DBAD49">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套</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1EB3C240">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0271F640">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5FC439">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12</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528C34">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视频存储服务器</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8957CA">
            <w:pPr>
              <w:widowControl/>
              <w:numPr>
                <w:ilvl w:val="0"/>
                <w:numId w:val="7"/>
              </w:numPr>
              <w:jc w:val="left"/>
              <w:textAlignment w:val="center"/>
              <w:rPr>
                <w:rFonts w:hint="eastAsia" w:ascii="Times New Roman" w:hAnsi="Times New Roman" w:cs="宋体"/>
                <w:color w:val="auto"/>
                <w:kern w:val="0"/>
                <w:szCs w:val="21"/>
                <w:lang w:eastAsia="zh-CN" w:bidi="ar"/>
              </w:rPr>
            </w:pPr>
            <w:r>
              <w:rPr>
                <w:rFonts w:hint="eastAsia" w:ascii="Times New Roman" w:hAnsi="Times New Roman" w:eastAsia="宋体" w:cs="宋体"/>
                <w:color w:val="auto"/>
                <w:kern w:val="0"/>
                <w:szCs w:val="21"/>
                <w:lang w:bidi="ar"/>
              </w:rPr>
              <w:t>不高于4U，盘位不低于36盘位；此次标配不少于36块8TB监控存储硬盘；</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2、采用LINUX操作系统，具有1个控制单元，1个64位多核处理器，8GB内存，可扩展至64GB，可扩展至2个512GB SSD固态硬盘；</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3、具备不少于5个RJ45网络口，1个RS232接口、1个eSATA、2个USB 3.0接口、2个USB2.0接口、1个HDMI接口</w:t>
            </w:r>
            <w:r>
              <w:rPr>
                <w:rFonts w:hint="eastAsia"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4、设备可接入双音轨，可同时或分别播放左右音轨</w:t>
            </w:r>
            <w:r>
              <w:rPr>
                <w:rFonts w:hint="eastAsia" w:ascii="Times New Roman" w:hAnsi="Times New Roman" w:cs="宋体"/>
                <w:color w:val="auto"/>
                <w:kern w:val="0"/>
                <w:szCs w:val="21"/>
                <w:lang w:eastAsia="zh-CN" w:bidi="ar"/>
              </w:rPr>
              <w:t>；</w:t>
            </w:r>
          </w:p>
          <w:p w14:paraId="5040A1A9">
            <w:pPr>
              <w:widowControl/>
              <w:numPr>
                <w:ilvl w:val="0"/>
                <w:numId w:val="0"/>
              </w:numPr>
              <w:ind w:left="0" w:leftChars="0" w:firstLine="0" w:firstLineChars="0"/>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5、支持接入容量为1TB、2TB、3TB、4TB、5TB、6TB、8TB、10TB、12TB、14TB、16TB的磁盘，支持接入SMR硬盘，混合支持SATA磁盘、SSD磁盘，在工作状态下，可支持磁盘热插拔磁盘可自动识别，接入过程中有提示信息；</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具有包括RAID0、RAID1、RAID3、RAID4、RAID5、RAID6、RAID10、RAID50、RAID60、超级RAID、JBOD、RAID5EE的RAID功能设置选项，具有同步优先、业务优先、I/O均衡及自适应四种RAID同步方式设置选项，支持全局热备和局部热备，支持RAID即建即用，可通过浏览器在线扩展客户端逻辑卷的存储空间，支持逻辑卷的动态在线扩展</w:t>
            </w:r>
            <w:r>
              <w:rPr>
                <w:rFonts w:hint="eastAsia"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7、可通过浏览器显示磁盘剩余空间容量，并可划分多个容量不同的盘组；</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8、支持同时进行3072Mbps视（音）频码流存储，3304Mbps视（音）频码流转发、1200Mbps视（音）频码流回放，在转发模式下，可支持6600Mbps视（音）频码流的转发，IPSAN工作模式下，存储带宽不小于12Gbps；</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主机支持专用的存储硬盘，可升级专用硬盘固件支持实时监测专用硬盘的健康状态,可对被监测的硬盘健康状态进行分级分类，类别包含“硬盘良好状态”、“硬盘告警状态”、“硬盘错误状态”、“硬盘即将损坏”和“硬盘损坏状态”;</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10、支持纠删码技术,可以支持不少于16个盘掉线或者损坏，数据仍然有效，保留的硬盘中的数据可正常读出，且新数据可正常写入.创建RAID后即为同步完成状态；</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11、</w:t>
            </w:r>
            <w:r>
              <w:rPr>
                <w:rFonts w:hint="eastAsia" w:ascii="Times New Roman" w:hAnsi="Times New Roman" w:cs="宋体"/>
                <w:b/>
                <w:color w:val="auto"/>
                <w:kern w:val="0"/>
                <w:szCs w:val="21"/>
                <w:lang w:eastAsia="zh-CN" w:bidi="ar"/>
              </w:rPr>
              <w:t>●</w:t>
            </w:r>
            <w:r>
              <w:rPr>
                <w:rFonts w:hint="eastAsia" w:ascii="Times New Roman" w:hAnsi="Times New Roman" w:eastAsia="宋体" w:cs="宋体"/>
                <w:color w:val="auto"/>
                <w:kern w:val="0"/>
                <w:szCs w:val="21"/>
                <w:lang w:bidi="ar"/>
              </w:rPr>
              <w:t>客户端可一键导出设备日志，支持将第三方业务平台整体嵌入在一个控制器中，同时运行</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r>
              <w:rPr>
                <w:rFonts w:hint="eastAsia" w:ascii="Times New Roman" w:hAnsi="Times New Roman" w:eastAsia="宋体" w:cs="宋体"/>
                <w:color w:val="auto"/>
                <w:kern w:val="0"/>
                <w:szCs w:val="21"/>
                <w:lang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12、支持对普通录像、事件录像设置不同的压缩存储模式，支持普通录像设置压缩下载，事件录像采用非压缩下载进行混合存储。对录像时间段同时存在压缩与非压缩录像进行回放或下载时录像连续，无跳秒现象。普通录像回放时支持普通回放或压缩回放，支持单倍速或多倍速回放。 普通录像下载时支持普通下载或压缩下载；</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13、可查看整机最大支持压缩路数、剩余压缩路数，可查看样机接入的原始码流、压缩码流大小。可查看所有配置压缩通道信息，包含压缩类型、原始码率、 原始分辨率、 压缩码率、 压缩分辨、 压缩状态。支持通过过滤压缩类型、压缩状态等字段快速查看通道运行情况；</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92F01A">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AABDCA">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0B6A2817">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1E6CE522">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BD9A9D">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lang w:bidi="ar"/>
              </w:rPr>
              <w:t>13</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71A7D3">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智能分析服务器</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1D247A">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1、智能分析，支持单盘位，最大可满配16TB硬盘；</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2、具有不少于2路HDMI输出，1路VGA输出，可支持4K显示输出；</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3、应支持2个10/100/1000Mbps自适应以太网口；</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4、应支持48路H.264/H.265混合接入，网络带宽256Mbps接入、256Mbps存储、256Mbps转发；</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5、应支持16个1080p解码显示输出，支持Smart H.265;H.265;Smart H.264;H.264混合解码；</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6、应支持32路400万分辨率人脸检测和人脸识别前智能；</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7、应支持32路400万分辨率通用行为分析检测；</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8、应支持32路400万分辨率结构化前智能；</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9、应支持12种检测项：视频遮挡、场景变化、视频抖动、视频噪声、条纹检测、视频丢失、画面冻结、高亮度、视频模糊、视频偏色、低对比度、雪花噪点；</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10、应支持联动录像，抓图，日志，蜂鸣，邮件，预置点，本地报警输出，IPC报警输出，门禁，语音播报，声光报警联动。</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11、</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t>应支持人员聚档功能， 可自动将识别到的同一人员的人脸图片汇聚到一个人员档案中；可以查看人员出现的次数及对应的时间和地点， 并展示当时的抓拍信息及人员属性信息</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r>
              <w:rPr>
                <w:rFonts w:hint="eastAsia" w:ascii="Times New Roman" w:hAnsi="Times New Roman" w:eastAsia="宋体" w:cs="宋体"/>
                <w:color w:val="auto"/>
                <w:kern w:val="0"/>
                <w:szCs w:val="21"/>
                <w:lang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12、应支持通过网络下载视频，设置人脸检测，或人脸比对模式，提取录像中的人脸，属性结构化信息，并进行识别；支持按照人脸属性(性别，年龄，眼镜，口罩，表情，胡子)进行属性结果查询；支持对硬盘历史录像进行视频结构化分析，可分析出人体、人脸、机动车、非机动车事件和图片，并能通过智能回放快速检索所有通道图片，支持通过任务和通道检索；</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F14E22">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701346">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4B3387BE">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36D0A337">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73FA3D">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14</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FE2FC3">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液晶拼接单元</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4165CE">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1、</w:t>
            </w:r>
            <w:r>
              <w:rPr>
                <w:rFonts w:hint="eastAsia" w:ascii="Times New Roman" w:hAnsi="Times New Roman" w:eastAsia="宋体" w:cs="宋体"/>
                <w:color w:val="auto"/>
                <w:kern w:val="0"/>
                <w:szCs w:val="21"/>
                <w:lang w:bidi="ar"/>
              </w:rPr>
              <w:t>★</w:t>
            </w:r>
            <w:r>
              <w:rPr>
                <w:rFonts w:hint="eastAsia" w:ascii="Times New Roman" w:hAnsi="Times New Roman" w:eastAsia="宋体" w:cs="宋体"/>
                <w:color w:val="auto"/>
                <w:kern w:val="0"/>
                <w:sz w:val="22"/>
                <w:szCs w:val="22"/>
                <w:lang w:bidi="ar"/>
              </w:rPr>
              <w:t>屏幕尺寸</w:t>
            </w:r>
            <w:r>
              <w:rPr>
                <w:rFonts w:hint="eastAsia" w:ascii="Times New Roman" w:hAnsi="Times New Roman" w:cs="宋体"/>
                <w:color w:val="auto"/>
                <w:kern w:val="0"/>
                <w:sz w:val="22"/>
                <w:szCs w:val="22"/>
                <w:lang w:val="en-US" w:eastAsia="zh-CN" w:bidi="ar"/>
              </w:rPr>
              <w:t>不低于</w:t>
            </w:r>
            <w:r>
              <w:rPr>
                <w:rFonts w:hint="eastAsia" w:ascii="Times New Roman" w:hAnsi="Times New Roman" w:eastAsia="宋体" w:cs="宋体"/>
                <w:color w:val="auto"/>
                <w:kern w:val="0"/>
                <w:sz w:val="22"/>
                <w:szCs w:val="22"/>
                <w:lang w:bidi="ar"/>
              </w:rPr>
              <w:t xml:space="preserve">55寸，LED光源；  </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2、分辨率：</w:t>
            </w:r>
            <w:r>
              <w:rPr>
                <w:rFonts w:hint="eastAsia" w:ascii="Times New Roman" w:hAnsi="Times New Roman" w:cs="宋体"/>
                <w:color w:val="auto"/>
                <w:kern w:val="0"/>
                <w:sz w:val="22"/>
                <w:szCs w:val="22"/>
                <w:lang w:val="en-US" w:eastAsia="zh-CN" w:bidi="ar"/>
              </w:rPr>
              <w:t>约</w:t>
            </w:r>
            <w:r>
              <w:rPr>
                <w:rFonts w:hint="eastAsia" w:ascii="Times New Roman" w:hAnsi="Times New Roman" w:eastAsia="宋体" w:cs="宋体"/>
                <w:color w:val="auto"/>
                <w:kern w:val="0"/>
                <w:sz w:val="22"/>
                <w:szCs w:val="22"/>
                <w:lang w:bidi="ar"/>
              </w:rPr>
              <w:t xml:space="preserve">1920*1080，双边拼缝≦3.5mm；  </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 xml:space="preserve">3、亮度不低于500cd/m2，对比度不低于1400:1；图像显示清晰度≥950TVL，亮度鉴别等级≥11级；  </w:t>
            </w:r>
            <w:r>
              <w:rPr>
                <w:rFonts w:hint="eastAsia" w:ascii="Times New Roman" w:hAnsi="Times New Roman" w:eastAsia="宋体" w:cs="宋体"/>
                <w:color w:val="auto"/>
                <w:kern w:val="0"/>
                <w:sz w:val="22"/>
                <w:szCs w:val="22"/>
                <w:lang w:bidi="ar"/>
              </w:rPr>
              <w:br w:type="textWrapping"/>
            </w:r>
            <w:r>
              <w:rPr>
                <w:rFonts w:hint="eastAsia" w:ascii="Times New Roman" w:hAnsi="Times New Roman" w:cs="宋体"/>
                <w:color w:val="auto"/>
                <w:kern w:val="0"/>
                <w:sz w:val="22"/>
                <w:szCs w:val="22"/>
                <w:lang w:val="en-US" w:eastAsia="zh-CN" w:bidi="ar"/>
              </w:rPr>
              <w:t>4</w:t>
            </w:r>
            <w:r>
              <w:rPr>
                <w:rFonts w:hint="eastAsia" w:ascii="Times New Roman" w:hAnsi="Times New Roman" w:eastAsia="宋体" w:cs="宋体"/>
                <w:color w:val="auto"/>
                <w:kern w:val="0"/>
                <w:sz w:val="22"/>
                <w:szCs w:val="22"/>
                <w:lang w:bidi="ar"/>
              </w:rPr>
              <w:t>、液晶拼接产生均匀稳定知觉的闪烁频率，符合GB/T40230.2-2021视疲劳测试要求；LCD显示单元达到绿色设计产品技术规范符合</w:t>
            </w:r>
            <w:r>
              <w:rPr>
                <w:rFonts w:hint="eastAsia" w:ascii="Times New Roman" w:hAnsi="Times New Roman" w:cs="宋体"/>
                <w:color w:val="auto"/>
                <w:kern w:val="0"/>
                <w:sz w:val="22"/>
                <w:szCs w:val="22"/>
                <w:lang w:val="en-US" w:eastAsia="zh-CN" w:bidi="ar"/>
              </w:rPr>
              <w:t>国家</w:t>
            </w:r>
            <w:r>
              <w:rPr>
                <w:rFonts w:hint="eastAsia" w:ascii="Times New Roman" w:hAnsi="Times New Roman" w:eastAsia="宋体" w:cs="宋体"/>
                <w:color w:val="auto"/>
                <w:kern w:val="0"/>
                <w:sz w:val="22"/>
                <w:szCs w:val="22"/>
                <w:lang w:bidi="ar"/>
              </w:rPr>
              <w:t>标准；液晶拼接单元不造成对视网膜的蓝光危害；LCD显示单元边缘采用抗热材质，保证高温条件下拼缝效果；</w:t>
            </w:r>
            <w:r>
              <w:rPr>
                <w:rFonts w:hint="eastAsia" w:ascii="Times New Roman" w:hAnsi="Times New Roman" w:eastAsia="宋体" w:cs="宋体"/>
                <w:color w:val="auto"/>
                <w:kern w:val="0"/>
                <w:sz w:val="22"/>
                <w:szCs w:val="22"/>
                <w:lang w:bidi="ar"/>
              </w:rPr>
              <w:br w:type="textWrapping"/>
            </w:r>
            <w:r>
              <w:rPr>
                <w:rFonts w:hint="eastAsia" w:ascii="Times New Roman" w:hAnsi="Times New Roman" w:cs="宋体"/>
                <w:color w:val="auto"/>
                <w:kern w:val="0"/>
                <w:sz w:val="22"/>
                <w:szCs w:val="22"/>
                <w:lang w:val="en-US" w:eastAsia="zh-CN" w:bidi="ar"/>
              </w:rPr>
              <w:t>5</w:t>
            </w:r>
            <w:r>
              <w:rPr>
                <w:rFonts w:hint="eastAsia" w:ascii="Times New Roman" w:hAnsi="Times New Roman" w:eastAsia="宋体" w:cs="宋体"/>
                <w:color w:val="auto"/>
                <w:kern w:val="0"/>
                <w:sz w:val="22"/>
                <w:szCs w:val="22"/>
                <w:lang w:bidi="ar"/>
              </w:rPr>
              <w:t>、拼接单元具有便捷的拼接方法及装置，利于装拆和售后维护；液晶拼接应采用分体式结构设计，支持屏体与驱动单元分开安装及拆卸，整体美观大方的同时最大程度降低项目后期运营维护成本及难度。</w:t>
            </w:r>
            <w:r>
              <w:rPr>
                <w:rFonts w:hint="eastAsia" w:ascii="Times New Roman" w:hAnsi="Times New Roman" w:eastAsia="宋体" w:cs="宋体"/>
                <w:color w:val="auto"/>
                <w:kern w:val="0"/>
                <w:sz w:val="22"/>
                <w:szCs w:val="22"/>
                <w:lang w:bidi="ar"/>
              </w:rPr>
              <w:br w:type="textWrapping"/>
            </w:r>
            <w:r>
              <w:rPr>
                <w:rFonts w:hint="eastAsia" w:ascii="Times New Roman" w:hAnsi="Times New Roman" w:cs="宋体"/>
                <w:color w:val="auto"/>
                <w:kern w:val="0"/>
                <w:sz w:val="22"/>
                <w:szCs w:val="22"/>
                <w:lang w:val="en-US" w:eastAsia="zh-CN" w:bidi="ar"/>
              </w:rPr>
              <w:t>6</w:t>
            </w:r>
            <w:r>
              <w:rPr>
                <w:rFonts w:hint="eastAsia" w:ascii="Times New Roman" w:hAnsi="Times New Roman" w:eastAsia="宋体" w:cs="宋体"/>
                <w:color w:val="auto"/>
                <w:kern w:val="0"/>
                <w:sz w:val="22"/>
                <w:szCs w:val="22"/>
                <w:lang w:bidi="ar"/>
              </w:rPr>
              <w:t>、 液晶显示单元通过GB/T18313-2001测量，距离屏幕水平0.5米/垂直0.45米时的工作噪音≤8dB；</w:t>
            </w:r>
            <w:r>
              <w:rPr>
                <w:rFonts w:hint="eastAsia" w:ascii="Times New Roman" w:hAnsi="Times New Roman" w:eastAsia="宋体" w:cs="宋体"/>
                <w:color w:val="auto"/>
                <w:kern w:val="0"/>
                <w:sz w:val="22"/>
                <w:szCs w:val="22"/>
                <w:lang w:bidi="ar"/>
              </w:rPr>
              <w:br w:type="textWrapping"/>
            </w:r>
            <w:r>
              <w:rPr>
                <w:rFonts w:hint="eastAsia" w:ascii="Times New Roman" w:hAnsi="Times New Roman" w:cs="宋体"/>
                <w:color w:val="auto"/>
                <w:kern w:val="0"/>
                <w:sz w:val="22"/>
                <w:szCs w:val="22"/>
                <w:lang w:val="en-US" w:eastAsia="zh-CN" w:bidi="ar"/>
              </w:rPr>
              <w:t>7</w:t>
            </w:r>
            <w:r>
              <w:rPr>
                <w:rFonts w:hint="eastAsia" w:ascii="Times New Roman" w:hAnsi="Times New Roman" w:eastAsia="宋体" w:cs="宋体"/>
                <w:color w:val="auto"/>
                <w:kern w:val="0"/>
                <w:sz w:val="22"/>
                <w:szCs w:val="22"/>
                <w:lang w:bidi="ar"/>
              </w:rPr>
              <w:t xml:space="preserve">、液晶拼接单元采用防磕碰设计，整机防碰撞力≤10KG； </w:t>
            </w:r>
            <w:r>
              <w:rPr>
                <w:rFonts w:hint="eastAsia" w:ascii="Times New Roman" w:hAnsi="Times New Roman" w:eastAsia="宋体" w:cs="宋体"/>
                <w:color w:val="auto"/>
                <w:kern w:val="0"/>
                <w:sz w:val="22"/>
                <w:szCs w:val="22"/>
                <w:lang w:bidi="ar"/>
              </w:rPr>
              <w:br w:type="textWrapping"/>
            </w:r>
            <w:r>
              <w:rPr>
                <w:rFonts w:hint="eastAsia" w:ascii="Times New Roman" w:hAnsi="Times New Roman" w:cs="宋体"/>
                <w:color w:val="auto"/>
                <w:kern w:val="0"/>
                <w:sz w:val="22"/>
                <w:szCs w:val="22"/>
                <w:lang w:val="en-US" w:eastAsia="zh-CN" w:bidi="ar"/>
              </w:rPr>
              <w:t>8</w:t>
            </w:r>
            <w:r>
              <w:rPr>
                <w:rFonts w:hint="eastAsia" w:ascii="Times New Roman" w:hAnsi="Times New Roman" w:eastAsia="宋体" w:cs="宋体"/>
                <w:color w:val="auto"/>
                <w:kern w:val="0"/>
                <w:sz w:val="22"/>
                <w:szCs w:val="22"/>
                <w:lang w:bidi="ar"/>
              </w:rPr>
              <w:t>、要求与现场拼接大屏无缝拼接，统一展示。</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CDA848">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6</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D60180">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052EC2E0">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2D8F28E7">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4CBAEF">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15</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428678">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单元底座</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263CF2">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1、采用铝型材定制，表面氧化喷塑、喷涂均匀、色调一致，颜色为黑色；积木式底座可以承受至少6层拼接单元承重；</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2、积木式箱体单元间有紧固连接装置，确保显示单元箱体、底座连接牢固；</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3、底座和箱体单元均可水平及垂直方向调节，屏幕也可进出调节，显示单元安装操作简单，可准确定位；</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579EE3">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2</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E4635F">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列</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5796B7BA">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3E5F70AB">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165C2C">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16</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1E2068">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解码器</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B6D161">
            <w:pPr>
              <w:widowControl/>
              <w:numPr>
                <w:ilvl w:val="0"/>
                <w:numId w:val="8"/>
              </w:numPr>
              <w:jc w:val="left"/>
              <w:textAlignment w:val="center"/>
              <w:rPr>
                <w:rFonts w:hint="eastAsia" w:ascii="Times New Roman" w:hAnsi="Times New Roman" w:eastAsia="宋体" w:cs="宋体"/>
                <w:b/>
                <w:bCs/>
                <w:color w:val="auto"/>
                <w:kern w:val="0"/>
                <w:szCs w:val="21"/>
                <w:lang w:bidi="ar"/>
              </w:rPr>
            </w:pPr>
            <w:r>
              <w:rPr>
                <w:rFonts w:hint="eastAsia" w:ascii="Times New Roman" w:hAnsi="Times New Roman" w:eastAsia="宋体" w:cs="宋体"/>
                <w:color w:val="auto"/>
                <w:kern w:val="0"/>
                <w:szCs w:val="21"/>
                <w:lang w:bidi="ar"/>
              </w:rPr>
              <w:t>★</w:t>
            </w:r>
            <w:r>
              <w:rPr>
                <w:rFonts w:hint="eastAsia" w:ascii="Times New Roman" w:hAnsi="Times New Roman" w:eastAsia="宋体" w:cs="宋体"/>
                <w:color w:val="auto"/>
                <w:kern w:val="0"/>
                <w:sz w:val="22"/>
                <w:szCs w:val="22"/>
                <w:lang w:bidi="ar"/>
              </w:rPr>
              <w:t>支持</w:t>
            </w:r>
            <w:r>
              <w:rPr>
                <w:rFonts w:hint="eastAsia" w:ascii="Times New Roman" w:hAnsi="Times New Roman" w:eastAsia="宋体" w:cs="宋体"/>
                <w:color w:val="auto"/>
                <w:kern w:val="0"/>
                <w:sz w:val="22"/>
                <w:szCs w:val="22"/>
                <w:lang w:val="en-US" w:eastAsia="zh-CN" w:bidi="ar"/>
              </w:rPr>
              <w:t>不少于</w:t>
            </w:r>
            <w:r>
              <w:rPr>
                <w:rFonts w:hint="eastAsia" w:ascii="Times New Roman" w:hAnsi="Times New Roman" w:eastAsia="宋体" w:cs="宋体"/>
                <w:color w:val="auto"/>
                <w:kern w:val="0"/>
                <w:sz w:val="22"/>
                <w:szCs w:val="22"/>
                <w:lang w:bidi="ar"/>
              </w:rPr>
              <w:t>6路HDMI信号输出，输出接口最大支持1920×1080@60及以下常规分辨率输出；</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2、支持超高超宽自定义分辨率输出设置，水平分辨率最宽可达3840像素，垂直分辨率最高可达3840像素；</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3、支持2路HDMI信号输入；输入接口最大支持3840×2160@60Hz及以下常规分辨率；</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4、具备1对语音对讲接口：1个3.5mm音频输入接口和1个3.5mm音频输出接口；</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5、整机解码支持2路32MP@25fps（仅H.265支持）/7路12MP@25fps/10路8MP@25fps/14路6MP@25fps/18路5MP@25fps/21路4MP@25fps/28路3MP@25fps/43路1080p@25fps/108路D1@25fps；</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6、支持MPEG2/MPEG4/H.264/H.265/SVAC/MJPEG标准网络视频流解码；</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7、支持QCIF/CIF/2CIF/HD1/D1/960H/720p/1080p/3MP/4MP/5MP/6MP/8MP/12MP/32MP视频解码；</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8、</w:t>
            </w:r>
            <w:r>
              <w:rPr>
                <w:rFonts w:hint="eastAsia" w:ascii="Times New Roman" w:hAnsi="Times New Roman" w:cs="宋体"/>
                <w:color w:val="auto"/>
                <w:kern w:val="0"/>
                <w:sz w:val="22"/>
                <w:szCs w:val="22"/>
                <w:lang w:eastAsia="zh-CN" w:bidi="ar"/>
              </w:rPr>
              <w:t>■</w:t>
            </w:r>
            <w:r>
              <w:rPr>
                <w:rFonts w:hint="eastAsia" w:ascii="Times New Roman" w:hAnsi="Times New Roman" w:eastAsia="宋体" w:cs="宋体"/>
                <w:color w:val="auto"/>
                <w:kern w:val="0"/>
                <w:sz w:val="22"/>
                <w:szCs w:val="22"/>
                <w:lang w:bidi="ar"/>
              </w:rPr>
              <w:t>支持跨屏同步显示功能，所有跨屏信号源可以同时发送至各个屏幕显示，时差应≤10ns；应支持采集同步功能，对不同的采集通道或不同窗口进行同步控制，对画面同步显示，时差应≤10ns；支持从画面采集到输出显示整体延时 ≤16ms；应具有智能节能功能，当传感器检测到当前环境无人时，可自动控制电视墙熄屏。应能设置从检测到无人到进行熄屏的时间间隔。</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p>
          <w:p w14:paraId="556E7B88">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9、支持音频压缩格式：PCM/G.711/AAC；</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10、 支持每屏1/4/6/8/9/16/25/36分割，支持M×N自由分割；支持任意开窗、漫游，每屏最大支持36路开窗；支持电视墙默认底色设置，支持高清底图显示；</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支持预案轮巡；支持多屏融合拼接，跨屏画面毫秒级完美同步；支持在大屏上叠加OSD文字信息，支持位置，字体大小等自定义设置；支持Onvif，RTSP，GB28181协议接入；</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11、要求接入到现场大屏控制系统，实现统一管理；</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5D6F6C">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2EBE23">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7A772E2F">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4CAC9C56">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92938E">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17</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7BBC96">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大模型计算一体机</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15BA7F">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1、具有不少于2颗</w:t>
            </w:r>
            <w:r>
              <w:rPr>
                <w:rFonts w:hint="eastAsia" w:cs="宋体"/>
                <w:color w:val="auto"/>
                <w:kern w:val="0"/>
                <w:sz w:val="22"/>
                <w:szCs w:val="22"/>
                <w:lang w:eastAsia="zh-CN" w:bidi="ar"/>
              </w:rPr>
              <w:t>安全可靠</w:t>
            </w:r>
            <w:r>
              <w:rPr>
                <w:rFonts w:hint="eastAsia" w:ascii="Times New Roman" w:hAnsi="Times New Roman" w:eastAsia="宋体" w:cs="宋体"/>
                <w:color w:val="auto"/>
                <w:kern w:val="0"/>
                <w:sz w:val="22"/>
                <w:szCs w:val="22"/>
                <w:lang w:bidi="ar"/>
              </w:rPr>
              <w:t>CPU，≥24核，≥2.6GHz；</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2、≥4根32GB DDR4内存条，最大槽位数16个槽位；</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3、具有不少于2张高性能</w:t>
            </w:r>
            <w:r>
              <w:rPr>
                <w:rFonts w:hint="eastAsia" w:cs="宋体"/>
                <w:color w:val="auto"/>
                <w:kern w:val="0"/>
                <w:sz w:val="22"/>
                <w:szCs w:val="22"/>
                <w:lang w:eastAsia="zh-CN" w:bidi="ar"/>
              </w:rPr>
              <w:t>安全可靠</w:t>
            </w:r>
            <w:r>
              <w:rPr>
                <w:rFonts w:hint="eastAsia" w:ascii="Times New Roman" w:hAnsi="Times New Roman" w:eastAsia="宋体" w:cs="宋体"/>
                <w:color w:val="auto"/>
                <w:kern w:val="0"/>
                <w:sz w:val="22"/>
                <w:szCs w:val="22"/>
                <w:lang w:bidi="ar"/>
              </w:rPr>
              <w:t>GPU智能分析卡，单卡具有≥4个AI处理器；LPDDR4X≥24GB；半精度（FP16）AI算力≥50 TFLOPS（峰值算力）；整数精度（INT8）AI算力≥100 TOPS（峰值算力）；</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4、≥5块2.5寸480GB SSD硬盘，≥7块3.5寸8TB 机械硬盘，最大硬盘槽位数12槽位，支持raid0/1/5/10；</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5、网络接口≥4个千兆自适应网口；支持双电源冗余；</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6、≥2个VGA接口；≥前置2个USB3.0接口，≥后置2个USB3.0接口；</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7、标准19英寸机架式安装，带安装导轨；</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8、应支持人脸检测，支持人脸图片流检测分析，支持性别、年龄段、表情、眼镜、胡子、口罩等属性；</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9、应支持人脸建模，支持人脸图片特征提取；</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10、应支持人脸布控，将抓拍人脸图片与指定人脸库进行实时比对，得到超过布控阈值的首位命中人员信息；</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11、应支持历史报警记录查询，支持历史布控报警记录查询；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12、应支持注册库管理，支持区分黑名单库、静态库等注册库类型; 支持对注册库进行增加、删除、修改操作; 支持对注册库库成员进行增加、删除、修改操作；</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13、应支持注册库查询，支持注册库库成员查询，支持按姓名、证件类型、证件号、地区等条件过滤；</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14、应支持注册库以图搜图，支持手动选取单张或多张人脸图片与注册库比对，以图搜图出符合条件的人员，按相似度从高到底排列；</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15、应支持抓拍库查询，支持抓拍库历史过人记录查询；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16、应支持抓拍库以图搜图，支持手动选取单张或多张人脸图片，按时间和通道过滤，与历史过人数据比对，以图搜图出符合条件的人员，按相似度从高到低排列；</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17、应支持人脸聚类，支持将解析后的人脸和人体图片进行聚类，其中人脸实时生成人员档案，人体默认6小时后聚进档案；</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18、图片流分析能力≥最大支持160张/秒人脸小图分析（单台硬件资源独占）；</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19、应支持黑名单库布控，最大支持300万布控库总容量；</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20、应支持以图搜图，最大支持8000万抓拍库和300万静态库以图搜图秒级响应；</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21、应支持人脸聚类，整机最大支持50万人脸档案、支持人脸档案保留180天（档案超过50万或超过180天无更新将触发档案回收）；支持日处理人脸人体抓拍量共50万；</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22、应支持档案统计，支持以图表、数据的形式展示当前档案总数、实名档案及路人档案、昨日新增档案数；支持档案统计数据按时间范围（近三天、近七天、近三十天、自定义等选项）统计，并展示档案趋势；</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23、应支持档案查询，支持根据通道、时间、年龄段、性别、是否实名等条件查询档案结果；</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24、应支持以图搜档，支持上传人员图片，按时间、通道、性别、年龄段、是否实名及相似度阈值等条件与历史档案数据比对，以图搜档出符合条件的人员档案，按相似度从高到底排列；支持开启全息检索（可选择同一目标的人脸与人体），提高档案召回率；</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25、应支持档案详情，支持展示档案属性信息（档案封面图、证件照、姓名、证件号、建档时间、性别、子档数量）、并且展示人脸子档和人体子档信息（子档图片、子档类型、通道名称、抓拍时间）；支持按抓拍类型过滤人脸或人体子档</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26、应支持档案实名，支持主档人员与注册名单库内人员比对，相似度最高且超过阈值的主档人员，身份落地至档案，实现档案实名；</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27、应支持频次分析，支持根据时间、通道和频次（按出现天数、次数）查询符合条件检索；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28、应支持全息检索，支持上传人员图片，选取同一人员的人脸或人体（或同时选择），按时间、通道、相似度阈值与历史人脸、人体进行数据比对，通过全息多维引擎返回符合条件的人脸、人体结果，按相似度从高到低排序，结果支持仅展示人脸或人体；支持背影搜正脸；</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29、应支持解析功能，支持对目标图或场景图提取全量特征，支持的目标类型包括：人体、非机动车、机动车；支持对实时抓拍消息进行分析；</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30、解析性能应支持两种模式，模式1：目标图或场景图，每卡20张/秒；模式2：目标图+场景图，每卡10张/秒；</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31、</w:t>
            </w:r>
            <w:r>
              <w:rPr>
                <w:rFonts w:hint="eastAsia" w:ascii="Times New Roman" w:hAnsi="Times New Roman" w:cs="宋体"/>
                <w:color w:val="auto"/>
                <w:kern w:val="0"/>
                <w:sz w:val="22"/>
                <w:szCs w:val="22"/>
                <w:lang w:eastAsia="zh-CN" w:bidi="ar"/>
              </w:rPr>
              <w:t>■</w:t>
            </w:r>
            <w:r>
              <w:rPr>
                <w:rFonts w:hint="eastAsia" w:ascii="Times New Roman" w:hAnsi="Times New Roman" w:eastAsia="宋体" w:cs="宋体"/>
                <w:color w:val="auto"/>
                <w:kern w:val="0"/>
                <w:sz w:val="22"/>
                <w:szCs w:val="22"/>
                <w:lang w:bidi="ar"/>
              </w:rPr>
              <w:t>支持单机8000万抓拍库数据进行以图搜图检索，后台响应时间不超过1秒；支持目标多特征图搜；同一张人骑车图片，支持以骑手（人体）或非机动车分别进行以图搜图，返回匹配各自相似特征的两组不同结果；</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32、应支持语义搜索，支持输入自然语言文本，系统自动提取自然语言特征，与抓拍底库图片特征进行比对，可得到和文本最匹配的topN条数据，支持按时间、地点筛选搜索结果，同时支持查看搜索结果的大图；支持输入自然语言描述内容包括但不限于目标单属性、目标多属性、目标行为要素、场景要素、场景要素+目标属性等组合；在语义搜索时，支持抓拍的人员、非机动车、机动车特征，以及全场景特征；支持搜索页面展示最近搜索的9条历史记录词条；</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33、应支持输入自然语言检索图片，检索平均响应时间≤2s。全量特征包括人体、机动车、非机动车、场景、物品、结构化属性、行为等；单机支持500万特征检索；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34、应支持目标分类，支持对人脸、人体、机动车、非机动车的目标分类。对实时视频流进行智能结构化分析，并从中提取出活动目标的结构化信息；</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35、应支持机动车检测，支持车辆类型、车身颜色、车辆品牌、车牌号码、车牌颜色、号牌种类、特殊车辆、车辆姿态检测；支持年检标、遮阳板、摆件、挂件检测；支持主驾驶未系安全带、打手机检测；</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36、应支持非机动车检测，支持性别、年龄段、发型、佩戴物（戴帽）、附属物（打伞、背包、拎包）、上身服饰、上身颜色、上装纹理、下装类型、下装颜色、非机动车类型、非机动车颜色、帽子颜色、雨伞、雨伞颜色、雨披、包的颜色、口罩颜色、倒车镜、后备箱、车篮、朝向检测；</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37、</w:t>
            </w:r>
            <w:r>
              <w:rPr>
                <w:rFonts w:hint="eastAsia" w:ascii="Times New Roman" w:hAnsi="Times New Roman" w:cs="宋体"/>
                <w:b/>
                <w:color w:val="auto"/>
                <w:kern w:val="0"/>
                <w:szCs w:val="21"/>
                <w:lang w:eastAsia="zh-CN" w:bidi="ar"/>
              </w:rPr>
              <w:t>●</w:t>
            </w:r>
            <w:r>
              <w:rPr>
                <w:rFonts w:hint="eastAsia" w:ascii="Times New Roman" w:hAnsi="Times New Roman" w:eastAsia="宋体" w:cs="宋体"/>
                <w:color w:val="auto"/>
                <w:kern w:val="0"/>
                <w:sz w:val="22"/>
                <w:szCs w:val="22"/>
                <w:lang w:bidi="ar"/>
              </w:rPr>
              <w:t>支持以人脸或人体图片进行以图搜档案，其中人体支持背影搜正脸；支持通过是否实名、人员姓名、证件号、性别、年龄段，电话号码信息进行档案查询，档案能够以人像缩略图方式展示，点击档案可查看详情；档案详情包括：档案实名人员身份证件照片、主档照片，还包括实名库名称、建档时间信息；子档包含人脸和人体等各类抓拍照片。</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38、应支持行人检测，支持性别、年龄段、发型、佩戴物（戴帽）、附属物（打伞、背包、拎包）、上身服饰、上身颜色、上装纹理、下身服饰、下身颜色、帽子颜色、雨伞颜色、包的颜色、鞋子类型、鞋子颜色、口罩颜色、雨披、手推车、朝向检测；</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39、应支持实时展示，支持实时展示分析结果，人、车、非机动车实时跟踪框显示；</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40、应支持属性检索，支持以人、车、非机动车为条件分类进行智能检索；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41、应支持以图搜图，支持手动选取单张或多张图片，按时间、通道，相似度阈值与历史过人/车/非机动车数据比对，以图搜图出符合条件的人/车/非机动车，按相似度从高到低排列；</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42、支持本地存储结构化图片；支持结构化智能视频流实时展示；</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43、整机结构化分析性能不低于80路200万或40路400万或20路800万分辨率的实时视频活动目标分析（其中人脸仅抠图），或60路200万或30路400万或15路800万分辨率的实时视频分析（含人脸识别），或支持100张/秒200万 或50张/秒400万～800万分辨率的结构化图片目标分析；</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57AFA2">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6EE370">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48731705">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23BA412C">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CC7A73">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18</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945BC2">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AI文搜图</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2B9A90">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1、</w:t>
            </w:r>
            <w:r>
              <w:rPr>
                <w:rFonts w:hint="eastAsia" w:ascii="Times New Roman" w:hAnsi="Times New Roman" w:eastAsia="宋体" w:cs="宋体"/>
                <w:color w:val="auto"/>
                <w:kern w:val="0"/>
                <w:szCs w:val="21"/>
                <w:lang w:bidi="ar"/>
              </w:rPr>
              <w:t>★</w:t>
            </w:r>
            <w:r>
              <w:rPr>
                <w:rFonts w:hint="eastAsia" w:ascii="Times New Roman" w:hAnsi="Times New Roman" w:eastAsia="宋体" w:cs="宋体"/>
                <w:color w:val="auto"/>
                <w:kern w:val="0"/>
                <w:sz w:val="22"/>
                <w:szCs w:val="22"/>
                <w:lang w:bidi="ar"/>
              </w:rPr>
              <w:t>支持对文搜图任务进行按分析通道名称模糊检索，按分析类型、图片类型、分析方式、下发状态、任务启动状态快速筛选</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2、支持通过输入自然语言文本内容进行特征提取进行抓拍图比对，检索符合自然语言匹配的目标结果</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3、语义搜索的内容范围包括人员、机动车、非机动车的外貌特征、人员行为活动、物品、动物、环境场景、时间等要素</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4、语义搜索的目标范围支持单个目标特征、单个目标多特征、多个目标多个特征，结合时空信息进行综合检索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5、语义检索的时间范围支持快速选择今日、近3天、仅7天和自定义时间段，地点范围支持选择单个、多个地点或者不限地点</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6、地点的选择支持按组织结构方式选择视频通道，支持按通道能力集筛选视频通道，支持从地图进行点选或者框选多个视频通道</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7、语义检索的图片范围包括检索目标抓拍图和抓拍场景图中内容</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8、语义检索支持动态滚动展示检索样例，点击检索可以按样例内容进行图片检索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9、用户搜索的自然语言内容支持按用户保存历史记录，点击输入框自动按历史搜索时间顺序加载展示历史记录，可以快速点击历史文本记录加入输入框，用户可对文本内容编辑调整后进行再次检索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10、支持用户删除某条历史记录，或者一键清空当前用户的历史记录</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11、支持用户删除重置输入的语言内容和一键清空输入文本、时间和地点条件</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12、自然语言文本特征提取比对的检索匹配结果按匹配相似度顺序和图表方式展示图片，卡片内容包括抓图、抓拍时间、抓拍地点和抓拍类型</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13、支持点击查看图片详情，包括抓拍图、抓拍类型、场景图、抓拍点位、点位所属组织、抓拍时间、抓拍人体抓拍特征信息、抓拍点位所在的地图及具体位置信息，以及所有的抓拍图列表，可以快速切换前后图片详情、跳转到上一页、下一页的图片列表</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14、图片详情支持抓拍历史录像回放，场景图放大、缩小、下载、快速收藏和取消收藏功能</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15、图片详情支持对场景图启动二次图搜，快速自动目标检测或手动框选目标，对框定的目标按对应的目标类型进行二次以图搜图和以图搜档，搜索的目标类型包括人像、人体、机动车、非机动车，其中针对人员支持档案精准检索和身份识别</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16、支持对抓拍到车辆号码的车辆跳转地图轨迹，查看该车辆档案的通行轨迹</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17、支持一键导出当前页的搜索匹配结果图片按压缩包打包下载到本地，包括场景图和抓拍图，图片中包含抓拍点位和抓拍时间信息，图片导出前进行用户权限校验，并支持对导出文件压缩包设置加密密码</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18、收藏夹管理置顶展示，支持查看收藏的抓拍图片，默认按收藏时间排序展示，支持切换按抓拍时间排序展示，支持单个取消收藏，或选择多个、全选当前页取消收藏</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19、收藏夹抓拍图片支持选择导出当前页图片或导出前1000条记录的图片</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20、文搜图首页支持快速跳转文搜图任务配置管理</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D5BBB9">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5EF046">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cs="宋体"/>
                <w:color w:val="auto"/>
                <w:sz w:val="20"/>
                <w:szCs w:val="20"/>
                <w:lang w:val="en-US" w:eastAsia="zh-CN"/>
              </w:rPr>
              <w:t>套</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731AB966">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6A458522">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92DF70">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19</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852CCF">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融合检索系统</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C582B2">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1、融合检索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（1）支持统一入口对人员、车辆的登记档案信息和通行活动数据进行融合检索，快速实现找人找车；</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2、人员检索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支持按人员属性、时间地点、人员特征检索，支持按人员姓名、证件号码、人员编号查询检索人员档案，人员类型包括内部人员、访客和其他人员库成员；支持以图搜人，支持配合聚类分析开启精准检索，选择人像和人体联合深度精确检索，实现侧脸、背影识人；</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人员通行记录：支持人员抓拍记录按图片列表按时间排序展示，支持查看抓拍详情，包括抓拍场景图、抓拍时间、地点、事件类型和抓拍特征；支持场景图放缩查看、抓拍历史录像回放和抓拍场景图下载到本地；支持对抓拍场景图进行二次图搜，自动扫描识别或手动框选场景中其他目标进行关联查询，人员目标支持快速身份识别、以图搜人、精准检索，车辆目标支持快速以图搜车，实现对抓拍目标的同行或同场景目标的扩展追踪；</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人员档案：人员档案列表按实名人员和未实名人员分类统计和列表展示，其中实名人员包括内部人员、访客和其他类型人员库成员；支持快速筛选高频活动人员，点击具体人员可查看人员档案详情和地图轨迹回放；支持查看人员登记基础信息、人员车辆信息、活动频次分析、详细活动情况、地图轨迹和人员布控；支持频次分析展示按时间统计的高频地点出现频次的TOP10排名；支持实现实时聚档结果呈现，包括人像和人体； 支持快速跳转查看定位到该车辆档案，查看车辆的详细档案详情；</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(4)一键布控：针对内部、访客和其他实名人员和未实名的异常人员，可以快速选择人员库一键布控，该人员下次出现时及时告警提示；</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3、机动车检索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（1）支持按车辆属性检索，输入车牌号码检索车辆档案，包括内部、访客车和其他未登记通行的车辆；支持按时间地点、车辆特征检索；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以图搜车：支持上传车辆图片、设置最低匹配相似度，结合时间、地点条件，进行以图搜索车辆抓拍记录，支持对上传的图片自动扫描目标检测，可快速选择选择目标进行检索，也支持手动框车辆目标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车辆抓拍记录：支持车辆抓拍记录包括停车场进出、卡口过车抓拍和结构化车辆抓拍记录；支持对抓拍场景图进行二次图搜，自动扫描识别或手动框选场景中其他目标进行关联查询，人员目标支持快速身份识别、以图搜人、精准检索，车辆目标支持快速以图搜车，实现对抓拍目标的同行或同场景目标的扩展追踪</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机动车车辆档案：支持车辆档案支持按登记车辆和车辆活动情况生成档案；车辆档案内容包括车辆登记基础信息、活动频次分析、详细活动情况、地图轨迹，车辆登记信息包括车辆登记照片、车主信息、车辆类型、车身颜色、车牌颜色和车辆品品牌，对非人工登记，而是通过通行车辆抓拍生成档案的车辆信息，在识别不准确时支持手动修改矫正；支持频次分析展示按时间统计的高频地点出现频次的TOP10排名；</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4、非机动车检索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（1）支持按时间地点、车辆特征检索非机动车抓拍记录；</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以图搜车：支持上传车辆图片、设置最低匹配相似度，结合时间、地点条件，进行以图搜索非机动车抓拍记录，支持对上传的图片自动扫描目标检测，可快速选择选择目标进行检索，也支持手动框非机动车目标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（3）车辆抓拍记录：支持非机动车抓拍记录按图片列表按时间排序展示，可以查看抓拍详情；</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5、地图轨迹</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人车地图轨迹支持展示轨迹信息列表，包括融合轨迹、车辆轨迹和人员轨迹；支持按时间和地点条件调整更新轨迹信息列表，轨迹按时间逆序展示；在地图上可按人员出现顺序回放还原轨迹路线，回放过程中支持暂停、倍速播放（0.5倍，正常，2倍，4倍）控制；在出现点位，气泡方式展示人员出现信息，如人员出现照片、出现时间和地点，可录像回放和下载抓拍照片；</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（2）跨图层轨迹：人车地图轨迹点位分布跨地图图层时，支持按图层顺序切换轨迹回放，实现人车轨迹在不同场景的平面图上的呈现；</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（3）地图频次热力分析：人车地图轨迹可按出现地点频次分析按热力图方式地图呈现，直观查看人车活动密度分析结果；</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848667">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2E8899">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cs="宋体"/>
                <w:color w:val="auto"/>
                <w:sz w:val="20"/>
                <w:szCs w:val="20"/>
                <w:lang w:val="en-US" w:eastAsia="zh-CN"/>
              </w:rPr>
              <w:t>套</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1E8B8454">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074EFD02">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E208FA">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20</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0ACFD1">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聚类分析系统</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DE46BF">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1、支持以图搜人脸查询抓拍记录、以图搜人脸查询抓拍记录，对人员进行侧脸、背影的身份识别和轨迹查询，更加精准；</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2、支持以图搜机动车通行记录；</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3、人脸搜图，支持以图搜人脸查询抓拍记录；</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4、人体搜图，支持以图搜人体查询抓拍记录；</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5、人档聚类，非实名人档聚类，支持未实名人档案人员聚类分析，多用于陌生人场景；</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6、实名人档聚类，支持实名人档案人员聚类分析；多用于内部人员和布控人员；</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7、实时聚类，配合解析能力进行人员实时聚类分析，能够智能分析的通行记录进行实时聚类；</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8、全息检索，支持配合解析能力对人员进行侧脸，背影的身份识别和轨迹查询。更加精准；</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9、支持以图搜机动车通行记录；支持以图搜非机动车通行记录；</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11B56E">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A95CA9">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cs="宋体"/>
                <w:color w:val="auto"/>
                <w:sz w:val="20"/>
                <w:szCs w:val="20"/>
                <w:lang w:val="en-US" w:eastAsia="zh-CN"/>
              </w:rPr>
              <w:t>套</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59F83FCE">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4D014356">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1A2203">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21</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532789">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人脸图片质量诊断设备</w:t>
            </w:r>
          </w:p>
        </w:tc>
        <w:tc>
          <w:tcPr>
            <w:tcW w:w="7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77264">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1、支持30张/秒人脸特征值提取；</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2、支持152/192人脸模型版本特征提取，可扩展，可配套人脸闸机提取不同版本模型的特征值；</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3、支持人脸图片质量诊断；</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498C2E">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45F786">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44537A27">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46F6CCB0">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246C76">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22</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0A4F46">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人脸采集及质量管理软件</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C22BA7">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1、支持移动端《用户隐私保护协议》阅读启用或关闭：开启后，移动端人脸采集时会弹出协议提示，并确认是否阅读、同意；若不开启，则视为已阅读并同意该协议内容；</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2、支持移动端《用户隐私保护协议》内容自定义；</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支持人工审核任务启用或关闭：启用人脸身份核验前提下，当目前采集人脸图身份核验不通过时，由人员所属部门负责人判断此两张人脸（当前采集人脸图、该人证件照或公安在线人证比对结果）是否为“同一人”；</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4、支持本地上传、（通过指定设备）采集上传人员人脸图；</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5、支持本地上传、（通过指定设备）采集上传人员证件照；</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6、支持本地上传信息提示；</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7、支持（通过指定设备）采集上传选择设备分辨率：320*240、640*480、1280*720、1920*1080；</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8、支持通过移动端（H5人脸采集（扫描二维码）、智慧云教育APP、微信服务号）采集人员默认人脸图；</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9、支持人员人脸图特征值提取（通过门禁管理系统）；</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10、支持指定默认人脸图（优先下发至设备）；</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11、支持人脸图、证件照等图片处理记录管理；支持以采集时段、采集人姓名/人员编号为条件的图片处理记录查询、查看：采集时间、图片来源（PC端、设备端、移动端）、采集人、图片类型（人脸图、证件照）、图片、处理结果（合格、不合格，不合适显示原因）、上传时间；支持图片处理过程刷新：人脸源头采集、图片质量检测、人脸身份核验、人脸人工审核、人脸上传保存；支持Excel格式导出图片处理记录：采集时间、图片来源（PC端、设备端、移动端）、采集人、图片类型、图片、处理结果、上传时间、不合格原因，导出时用户本人密码验证、文件加密"；</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12、支持图片处理记录保留时间自定义：默认3个月，1-6个月范围；</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319856">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E13835">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cs="宋体"/>
                <w:color w:val="auto"/>
                <w:sz w:val="20"/>
                <w:szCs w:val="20"/>
                <w:lang w:val="en-US" w:eastAsia="zh-CN"/>
              </w:rPr>
              <w:t>套</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1E4BF370">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10A6C1E3">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681BE7">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lang w:bidi="ar"/>
              </w:rPr>
              <w:t>2</w:t>
            </w:r>
            <w:r>
              <w:rPr>
                <w:rFonts w:hint="eastAsia" w:ascii="Times New Roman" w:hAnsi="Times New Roman" w:cs="宋体"/>
                <w:color w:val="auto"/>
                <w:szCs w:val="21"/>
                <w:lang w:val="en-US" w:eastAsia="zh-CN" w:bidi="ar"/>
              </w:rPr>
              <w:t>3</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0E915E">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设备机柜</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60B945">
            <w:pPr>
              <w:widowControl/>
              <w:spacing w:line="360" w:lineRule="auto"/>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42U机柜；尺寸 600*1000*2000，含配套的19英寸PDU，内带走线槽。</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CFB6F2">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031A84">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个</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28E96EDB">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3D8B2C76">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A733AD">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2</w:t>
            </w:r>
            <w:r>
              <w:rPr>
                <w:rFonts w:hint="eastAsia" w:ascii="Times New Roman" w:hAnsi="Times New Roman" w:cs="宋体"/>
                <w:color w:val="auto"/>
                <w:kern w:val="0"/>
                <w:szCs w:val="21"/>
                <w:lang w:val="en-US" w:eastAsia="zh-CN" w:bidi="ar"/>
              </w:rPr>
              <w:t>4</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17AC1A">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8芯室外单模光纤</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5FC7F5">
            <w:pPr>
              <w:widowControl/>
              <w:spacing w:line="360" w:lineRule="auto"/>
              <w:jc w:val="left"/>
              <w:textAlignment w:val="center"/>
              <w:rPr>
                <w:rFonts w:hint="eastAsia" w:ascii="Times New Roman" w:hAnsi="Times New Roman" w:eastAsia="宋体" w:cs="宋体"/>
                <w:color w:val="auto"/>
                <w:szCs w:val="21"/>
                <w:shd w:val="clear" w:color="auto" w:fill="FFFFFF"/>
              </w:rPr>
            </w:pPr>
            <w:r>
              <w:rPr>
                <w:rFonts w:hint="eastAsia" w:ascii="Times New Roman" w:hAnsi="Times New Roman" w:eastAsia="宋体" w:cs="宋体"/>
                <w:color w:val="auto"/>
                <w:szCs w:val="21"/>
                <w:shd w:val="clear" w:color="auto" w:fill="FFFFFF"/>
              </w:rPr>
              <w:t>1、需严格遵循 YD/T769 - 2003 等相关国家标准与行业规范；</w:t>
            </w:r>
          </w:p>
          <w:p w14:paraId="6F73A30A">
            <w:pPr>
              <w:widowControl/>
              <w:spacing w:line="360" w:lineRule="auto"/>
              <w:jc w:val="left"/>
              <w:textAlignment w:val="center"/>
              <w:rPr>
                <w:rFonts w:hint="eastAsia" w:ascii="Times New Roman" w:hAnsi="Times New Roman" w:eastAsia="宋体" w:cs="宋体"/>
                <w:color w:val="auto"/>
                <w:szCs w:val="21"/>
                <w:shd w:val="clear" w:color="auto" w:fill="FFFFFF"/>
              </w:rPr>
            </w:pPr>
            <w:r>
              <w:rPr>
                <w:rFonts w:hint="eastAsia" w:ascii="Times New Roman" w:hAnsi="Times New Roman" w:eastAsia="宋体" w:cs="宋体"/>
                <w:color w:val="auto"/>
                <w:szCs w:val="21"/>
                <w:shd w:val="clear" w:color="auto" w:fill="FFFFFF"/>
              </w:rPr>
              <w:t>2、8芯设计，可为多路信号传输提供保障，结构类型涵盖中心束管式、层绞式等常见样式，内置高强度钢丝或芳纶纤维作加强件，外覆防水、防腐、耐候的优质护层；环境适应性强，工作温度范围在-40℃至70℃ ，湿度0% - 90%；</w:t>
            </w:r>
          </w:p>
          <w:p w14:paraId="3867FAA4">
            <w:pPr>
              <w:widowControl/>
              <w:spacing w:line="360" w:lineRule="auto"/>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szCs w:val="21"/>
                <w:shd w:val="clear" w:color="auto" w:fill="FFFFFF"/>
              </w:rPr>
              <w:t>3、机械性能方面，静态弯曲半径达光缆外径10倍左右，动态则为20倍左右，短期允许张力、侧压力分别不低于3000N、3000N/100mm ，长期对应不低于1000N、1000N/100mm。</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191E07">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1000</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EF4D56">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米</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4F0A4D5D">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6F89F5CA">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610DA2">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2</w:t>
            </w:r>
            <w:r>
              <w:rPr>
                <w:rFonts w:hint="eastAsia" w:ascii="Times New Roman" w:hAnsi="Times New Roman" w:cs="宋体"/>
                <w:color w:val="auto"/>
                <w:kern w:val="0"/>
                <w:szCs w:val="21"/>
                <w:lang w:val="en-US" w:eastAsia="zh-CN" w:bidi="ar"/>
              </w:rPr>
              <w:t>5</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FFEFC1">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16芯室外单模光纤</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CAD417">
            <w:pPr>
              <w:widowControl/>
              <w:spacing w:line="360" w:lineRule="auto"/>
              <w:jc w:val="left"/>
              <w:textAlignment w:val="center"/>
              <w:rPr>
                <w:rFonts w:hint="eastAsia" w:ascii="Times New Roman" w:hAnsi="Times New Roman" w:eastAsia="宋体" w:cs="宋体"/>
                <w:color w:val="auto"/>
                <w:szCs w:val="21"/>
                <w:shd w:val="clear" w:color="auto" w:fill="FFFFFF"/>
              </w:rPr>
            </w:pPr>
            <w:r>
              <w:rPr>
                <w:rFonts w:hint="eastAsia" w:ascii="Times New Roman" w:hAnsi="Times New Roman" w:eastAsia="宋体" w:cs="宋体"/>
                <w:color w:val="auto"/>
                <w:szCs w:val="21"/>
                <w:shd w:val="clear" w:color="auto" w:fill="FFFFFF"/>
              </w:rPr>
              <w:t>1、需严格遵循 YD/T769 - 2003 等相关国家标准与行业规范；</w:t>
            </w:r>
          </w:p>
          <w:p w14:paraId="43161DE5">
            <w:pPr>
              <w:widowControl/>
              <w:spacing w:line="360" w:lineRule="auto"/>
              <w:jc w:val="left"/>
              <w:textAlignment w:val="center"/>
              <w:rPr>
                <w:rFonts w:hint="eastAsia" w:ascii="Times New Roman" w:hAnsi="Times New Roman" w:eastAsia="宋体" w:cs="宋体"/>
                <w:color w:val="auto"/>
                <w:szCs w:val="21"/>
                <w:shd w:val="clear" w:color="auto" w:fill="FFFFFF"/>
              </w:rPr>
            </w:pPr>
            <w:r>
              <w:rPr>
                <w:rFonts w:hint="eastAsia" w:ascii="Times New Roman" w:hAnsi="Times New Roman" w:eastAsia="宋体" w:cs="宋体"/>
                <w:color w:val="auto"/>
                <w:szCs w:val="21"/>
                <w:shd w:val="clear" w:color="auto" w:fill="FFFFFF"/>
              </w:rPr>
              <w:t>2、16芯设计，可为多路信号传输提供保障，结构类型涵盖中心束管式、层绞式等常见样式，内置高强度钢丝或芳纶纤维作加强件，外覆防水、防腐、耐候的优质护层；环境适应性强，工作温度范围在-40℃至70℃ ，湿度0% - 90%；</w:t>
            </w:r>
          </w:p>
          <w:p w14:paraId="17430B26">
            <w:pPr>
              <w:widowControl/>
              <w:spacing w:line="360" w:lineRule="auto"/>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shd w:val="clear" w:color="auto" w:fill="FFFFFF"/>
              </w:rPr>
              <w:t>3、机械性能方面，静态弯曲半径达光缆外径10倍左右，动态则为20倍左右，短期允许张力、侧压力分别不低于3000N、3000N/100mm ，长期对应不低于1000N、1000N/100mm。</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9DC8E2">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2000</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868DBB">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米</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6CA29C58">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69450F40">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C4CD4B">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2</w:t>
            </w:r>
            <w:r>
              <w:rPr>
                <w:rFonts w:hint="eastAsia" w:ascii="Times New Roman" w:hAnsi="Times New Roman" w:cs="宋体"/>
                <w:color w:val="auto"/>
                <w:kern w:val="0"/>
                <w:szCs w:val="21"/>
                <w:lang w:val="en-US" w:eastAsia="zh-CN" w:bidi="ar"/>
              </w:rPr>
              <w:t>6</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3468F5">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六类4对非屏蔽双绞线</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top"/>
          </w:tcPr>
          <w:p w14:paraId="177D1788">
            <w:pPr>
              <w:spacing w:line="440" w:lineRule="exact"/>
              <w:jc w:val="left"/>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1、单根导体直径不低于0.5</w:t>
            </w:r>
            <w:r>
              <w:rPr>
                <w:rFonts w:hint="eastAsia" w:ascii="Times New Roman" w:hAnsi="Times New Roman" w:eastAsia="宋体" w:cs="宋体"/>
                <w:color w:val="auto"/>
                <w:kern w:val="0"/>
                <w:szCs w:val="21"/>
                <w:lang w:val="en-US" w:eastAsia="zh-CN"/>
              </w:rPr>
              <w:t>7</w:t>
            </w:r>
            <w:r>
              <w:rPr>
                <w:rFonts w:hint="eastAsia" w:ascii="Times New Roman" w:hAnsi="Times New Roman" w:eastAsia="宋体" w:cs="宋体"/>
                <w:color w:val="auto"/>
                <w:kern w:val="0"/>
                <w:szCs w:val="21"/>
              </w:rPr>
              <w:t>mm，6类室内网线</w:t>
            </w:r>
            <w:r>
              <w:rPr>
                <w:rFonts w:hint="eastAsia" w:ascii="Times New Roman" w:hAnsi="Times New Roman" w:eastAsia="宋体" w:cs="宋体"/>
                <w:color w:val="auto"/>
                <w:szCs w:val="21"/>
              </w:rPr>
              <w:t>无氧铜芯</w:t>
            </w:r>
            <w:r>
              <w:rPr>
                <w:rFonts w:hint="eastAsia" w:ascii="Times New Roman" w:hAnsi="Times New Roman" w:eastAsia="宋体" w:cs="宋体"/>
                <w:color w:val="auto"/>
                <w:kern w:val="0"/>
                <w:szCs w:val="21"/>
              </w:rPr>
              <w:t>,Cat6非屏蔽双绞线,24AWG,工作温度为-20-60℃，</w:t>
            </w:r>
            <w:r>
              <w:rPr>
                <w:rFonts w:hint="eastAsia" w:ascii="Times New Roman" w:hAnsi="Times New Roman" w:eastAsia="宋体" w:cs="宋体"/>
                <w:color w:val="auto"/>
                <w:szCs w:val="21"/>
              </w:rPr>
              <w:t>支持千兆以太网信号传输</w:t>
            </w:r>
            <w:r>
              <w:rPr>
                <w:rFonts w:hint="eastAsia" w:ascii="Times New Roman" w:hAnsi="Times New Roman" w:eastAsia="宋体" w:cs="宋体"/>
                <w:color w:val="auto"/>
                <w:kern w:val="0"/>
                <w:szCs w:val="21"/>
              </w:rPr>
              <w:t>。</w:t>
            </w:r>
          </w:p>
          <w:p w14:paraId="30EDF11B">
            <w:pPr>
              <w:spacing w:line="440" w:lineRule="exact"/>
              <w:jc w:val="left"/>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2、标准：符合GB 50311、 GB 50312、GB/T 18015.5-2007要求。</w:t>
            </w:r>
          </w:p>
          <w:p w14:paraId="48F89517">
            <w:pPr>
              <w:spacing w:line="440" w:lineRule="exact"/>
              <w:jc w:val="left"/>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rPr>
              <w:t>3、</w:t>
            </w:r>
            <w:r>
              <w:rPr>
                <w:rFonts w:hint="eastAsia" w:ascii="Times New Roman" w:hAnsi="Times New Roman" w:eastAsia="宋体" w:cs="宋体"/>
                <w:color w:val="auto"/>
                <w:szCs w:val="21"/>
              </w:rPr>
              <w:t>均匀双绞结构，配置十字骨架，产品性能稳定，有效降低干扰，确保信号传输质量。</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B4A019">
            <w:pPr>
              <w:keepNext w:val="0"/>
              <w:keepLines w:val="0"/>
              <w:widowControl/>
              <w:suppressLineNumbers w:val="0"/>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i w:val="0"/>
                <w:iCs w:val="0"/>
                <w:color w:val="auto"/>
                <w:kern w:val="0"/>
                <w:sz w:val="22"/>
                <w:szCs w:val="22"/>
                <w:u w:val="none"/>
                <w:lang w:val="en-US" w:eastAsia="zh-CN" w:bidi="ar"/>
              </w:rPr>
              <w:t>6000</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9E917C">
            <w:pPr>
              <w:keepNext w:val="0"/>
              <w:keepLines w:val="0"/>
              <w:widowControl/>
              <w:suppressLineNumbers w:val="0"/>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i w:val="0"/>
                <w:iCs w:val="0"/>
                <w:color w:val="auto"/>
                <w:kern w:val="0"/>
                <w:sz w:val="22"/>
                <w:szCs w:val="22"/>
                <w:u w:val="none"/>
                <w:lang w:val="en-US" w:eastAsia="zh-CN" w:bidi="ar"/>
              </w:rPr>
              <w:t>米</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6A6BACF2">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19D628C8">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C458FF">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cs="宋体"/>
                <w:color w:val="auto"/>
                <w:kern w:val="0"/>
                <w:szCs w:val="21"/>
                <w:lang w:val="en-US" w:eastAsia="zh-CN" w:bidi="ar"/>
              </w:rPr>
              <w:t>27</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D6E71C">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主干电源线</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E30EE0">
            <w:pPr>
              <w:numPr>
                <w:ilvl w:val="0"/>
                <w:numId w:val="9"/>
              </w:numPr>
              <w:spacing w:line="440" w:lineRule="exact"/>
              <w:jc w:val="left"/>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标称截面：≥2.5mm²；RVV护套线，国标标准；</w:t>
            </w:r>
          </w:p>
          <w:p w14:paraId="2854A7C7">
            <w:pPr>
              <w:numPr>
                <w:ilvl w:val="0"/>
                <w:numId w:val="9"/>
              </w:numPr>
              <w:spacing w:line="440" w:lineRule="exact"/>
              <w:jc w:val="left"/>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导体材质：99.99%无氧纯铜；</w:t>
            </w:r>
          </w:p>
          <w:p w14:paraId="6446BB91">
            <w:pPr>
              <w:widowControl/>
              <w:spacing w:line="360" w:lineRule="auto"/>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rPr>
              <w:t>3、额定电压：450/750V。</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E7727B">
            <w:pPr>
              <w:keepNext w:val="0"/>
              <w:keepLines w:val="0"/>
              <w:widowControl/>
              <w:suppressLineNumbers w:val="0"/>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i w:val="0"/>
                <w:iCs w:val="0"/>
                <w:color w:val="auto"/>
                <w:kern w:val="0"/>
                <w:sz w:val="22"/>
                <w:szCs w:val="22"/>
                <w:u w:val="none"/>
                <w:lang w:val="en-US" w:eastAsia="zh-CN" w:bidi="ar"/>
              </w:rPr>
              <w:t>500</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E1243D">
            <w:pPr>
              <w:keepNext w:val="0"/>
              <w:keepLines w:val="0"/>
              <w:widowControl/>
              <w:suppressLineNumbers w:val="0"/>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i w:val="0"/>
                <w:iCs w:val="0"/>
                <w:color w:val="auto"/>
                <w:kern w:val="0"/>
                <w:sz w:val="22"/>
                <w:szCs w:val="22"/>
                <w:u w:val="none"/>
                <w:lang w:val="en-US" w:eastAsia="zh-CN" w:bidi="ar"/>
              </w:rPr>
              <w:t>米</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5D396E8C">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308C0BF3">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90CFD3">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2</w:t>
            </w:r>
            <w:r>
              <w:rPr>
                <w:rFonts w:hint="eastAsia" w:ascii="Times New Roman" w:hAnsi="Times New Roman" w:cs="宋体"/>
                <w:color w:val="auto"/>
                <w:kern w:val="0"/>
                <w:szCs w:val="21"/>
                <w:lang w:val="en-US" w:eastAsia="zh-CN" w:bidi="ar"/>
              </w:rPr>
              <w:t>8</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64FEC5">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分支电源线</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EEC0EE">
            <w:pPr>
              <w:spacing w:line="440" w:lineRule="exact"/>
              <w:jc w:val="left"/>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1、标称截面：≥1.5mm²；RVV护套线，国标标准；</w:t>
            </w:r>
          </w:p>
          <w:p w14:paraId="0E2C3357">
            <w:pPr>
              <w:spacing w:line="440" w:lineRule="exact"/>
              <w:jc w:val="left"/>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2、导体材质：99.99%无氧纯铜；</w:t>
            </w:r>
          </w:p>
          <w:p w14:paraId="5D568A48">
            <w:pPr>
              <w:spacing w:line="440" w:lineRule="exact"/>
              <w:jc w:val="left"/>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rPr>
              <w:t>3、额定电压：450/750V。</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1BE409">
            <w:pPr>
              <w:keepNext w:val="0"/>
              <w:keepLines w:val="0"/>
              <w:widowControl/>
              <w:suppressLineNumbers w:val="0"/>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i w:val="0"/>
                <w:iCs w:val="0"/>
                <w:color w:val="auto"/>
                <w:kern w:val="0"/>
                <w:sz w:val="22"/>
                <w:szCs w:val="22"/>
                <w:u w:val="none"/>
                <w:lang w:val="en-US" w:eastAsia="zh-CN" w:bidi="ar"/>
              </w:rPr>
              <w:t>1000</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DB1598">
            <w:pPr>
              <w:keepNext w:val="0"/>
              <w:keepLines w:val="0"/>
              <w:widowControl/>
              <w:suppressLineNumbers w:val="0"/>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i w:val="0"/>
                <w:iCs w:val="0"/>
                <w:color w:val="auto"/>
                <w:kern w:val="0"/>
                <w:sz w:val="22"/>
                <w:szCs w:val="22"/>
                <w:u w:val="none"/>
                <w:lang w:val="en-US" w:eastAsia="zh-CN" w:bidi="ar"/>
              </w:rPr>
              <w:t>米</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685B7EBB">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6F580656">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4A54D7">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cs="宋体"/>
                <w:color w:val="auto"/>
                <w:kern w:val="0"/>
                <w:szCs w:val="21"/>
                <w:lang w:val="en-US" w:eastAsia="zh-CN" w:bidi="ar"/>
              </w:rPr>
              <w:t>29</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3A18A09C">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室外八角杆</w:t>
            </w:r>
          </w:p>
        </w:tc>
        <w:tc>
          <w:tcPr>
            <w:tcW w:w="7434" w:type="dxa"/>
            <w:tcBorders>
              <w:top w:val="single" w:color="auto" w:sz="4" w:space="0"/>
              <w:left w:val="single" w:color="auto" w:sz="4" w:space="0"/>
              <w:bottom w:val="single" w:color="auto" w:sz="4" w:space="0"/>
              <w:right w:val="single" w:color="auto" w:sz="4" w:space="0"/>
            </w:tcBorders>
            <w:noWrap/>
            <w:vAlign w:val="top"/>
          </w:tcPr>
          <w:p w14:paraId="75E314CE">
            <w:pPr>
              <w:widowControl/>
              <w:numPr>
                <w:ilvl w:val="0"/>
                <w:numId w:val="10"/>
              </w:numPr>
              <w:spacing w:line="360" w:lineRule="auto"/>
              <w:jc w:val="left"/>
              <w:textAlignment w:val="top"/>
              <w:rPr>
                <w:rFonts w:hint="eastAsia" w:ascii="Times New Roman" w:hAnsi="Times New Roman" w:eastAsia="宋体" w:cs="宋体"/>
                <w:color w:val="auto"/>
                <w:kern w:val="0"/>
                <w:szCs w:val="21"/>
                <w:lang w:bidi="ar"/>
              </w:rPr>
            </w:pPr>
            <w:r>
              <w:rPr>
                <w:rFonts w:hint="eastAsia" w:ascii="Times New Roman" w:hAnsi="Times New Roman" w:eastAsia="宋体" w:cs="宋体"/>
                <w:color w:val="auto"/>
                <w:kern w:val="0"/>
                <w:szCs w:val="21"/>
                <w:lang w:bidi="ar"/>
              </w:rPr>
              <w:t>高度不低于3.5M；</w:t>
            </w:r>
          </w:p>
          <w:p w14:paraId="6F423032">
            <w:pPr>
              <w:widowControl/>
              <w:numPr>
                <w:ilvl w:val="0"/>
                <w:numId w:val="10"/>
              </w:numPr>
              <w:spacing w:line="360" w:lineRule="auto"/>
              <w:jc w:val="left"/>
              <w:textAlignment w:val="top"/>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规格壁厚不低于3.0mm；</w:t>
            </w:r>
          </w:p>
          <w:p w14:paraId="3015EF55">
            <w:pPr>
              <w:widowControl/>
              <w:numPr>
                <w:ilvl w:val="0"/>
                <w:numId w:val="10"/>
              </w:numPr>
              <w:spacing w:line="360" w:lineRule="auto"/>
              <w:jc w:val="left"/>
              <w:textAlignment w:val="top"/>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下置一体化防水箱，内置箱体可以放交换机等设备；</w:t>
            </w:r>
          </w:p>
          <w:p w14:paraId="745CB156">
            <w:pPr>
              <w:widowControl/>
              <w:numPr>
                <w:ilvl w:val="0"/>
                <w:numId w:val="10"/>
              </w:numPr>
              <w:spacing w:line="360" w:lineRule="auto"/>
              <w:jc w:val="left"/>
              <w:textAlignment w:val="top"/>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配套25-50公分横臂</w:t>
            </w:r>
            <w:r>
              <w:rPr>
                <w:rFonts w:hint="eastAsia" w:cs="宋体"/>
                <w:color w:val="auto"/>
                <w:kern w:val="0"/>
                <w:szCs w:val="21"/>
                <w:lang w:eastAsia="zh-CN" w:bidi="ar"/>
              </w:rPr>
              <w:t>；</w:t>
            </w:r>
          </w:p>
          <w:p w14:paraId="0EFB75A3">
            <w:pPr>
              <w:widowControl/>
              <w:numPr>
                <w:ilvl w:val="0"/>
                <w:numId w:val="10"/>
              </w:numPr>
              <w:spacing w:line="360" w:lineRule="auto"/>
              <w:jc w:val="left"/>
              <w:textAlignment w:val="top"/>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水泥浇筑地基。</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38BCC0C4">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8</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4E1E4134">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杆</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50990800">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3DC9E0DD">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ED1275">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3</w:t>
            </w:r>
            <w:r>
              <w:rPr>
                <w:rFonts w:hint="eastAsia" w:ascii="Times New Roman" w:hAnsi="Times New Roman" w:cs="宋体"/>
                <w:color w:val="auto"/>
                <w:kern w:val="0"/>
                <w:szCs w:val="21"/>
                <w:lang w:val="en-US" w:eastAsia="zh-CN" w:bidi="ar"/>
              </w:rPr>
              <w:t>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46DCF3AA">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PE穿线管（含预埋)</w:t>
            </w:r>
          </w:p>
        </w:tc>
        <w:tc>
          <w:tcPr>
            <w:tcW w:w="7434" w:type="dxa"/>
            <w:tcBorders>
              <w:top w:val="single" w:color="auto" w:sz="4" w:space="0"/>
              <w:left w:val="single" w:color="auto" w:sz="4" w:space="0"/>
              <w:bottom w:val="single" w:color="auto" w:sz="4" w:space="0"/>
              <w:right w:val="single" w:color="auto" w:sz="4" w:space="0"/>
            </w:tcBorders>
            <w:noWrap/>
            <w:vAlign w:val="center"/>
          </w:tcPr>
          <w:p w14:paraId="5E66C2A8">
            <w:pPr>
              <w:widowControl/>
              <w:numPr>
                <w:ilvl w:val="0"/>
                <w:numId w:val="11"/>
              </w:numPr>
              <w:spacing w:line="360" w:lineRule="auto"/>
              <w:jc w:val="left"/>
              <w:textAlignment w:val="center"/>
              <w:rPr>
                <w:rFonts w:hint="eastAsia" w:ascii="Times New Roman" w:hAnsi="Times New Roman" w:eastAsia="宋体" w:cs="宋体"/>
                <w:color w:val="auto"/>
                <w:kern w:val="0"/>
                <w:szCs w:val="21"/>
                <w:lang w:bidi="ar"/>
              </w:rPr>
            </w:pPr>
            <w:r>
              <w:rPr>
                <w:rFonts w:hint="eastAsia" w:ascii="Times New Roman" w:hAnsi="Times New Roman" w:eastAsia="宋体" w:cs="宋体"/>
                <w:color w:val="auto"/>
                <w:kern w:val="0"/>
                <w:szCs w:val="21"/>
                <w:lang w:bidi="ar"/>
              </w:rPr>
              <w:t>PE穿线管，材质为高密度聚乙烯；</w:t>
            </w:r>
          </w:p>
          <w:p w14:paraId="495BC0D9">
            <w:pPr>
              <w:widowControl/>
              <w:numPr>
                <w:ilvl w:val="0"/>
                <w:numId w:val="11"/>
              </w:numPr>
              <w:spacing w:line="360" w:lineRule="auto"/>
              <w:jc w:val="left"/>
              <w:textAlignment w:val="center"/>
              <w:rPr>
                <w:rFonts w:hint="eastAsia" w:ascii="Times New Roman" w:hAnsi="Times New Roman" w:eastAsia="宋体" w:cs="宋体"/>
                <w:color w:val="auto"/>
                <w:kern w:val="0"/>
                <w:szCs w:val="21"/>
                <w:lang w:bidi="ar"/>
              </w:rPr>
            </w:pPr>
            <w:r>
              <w:rPr>
                <w:rFonts w:hint="eastAsia" w:ascii="Times New Roman" w:hAnsi="Times New Roman" w:eastAsia="宋体" w:cs="宋体"/>
                <w:color w:val="auto"/>
                <w:kern w:val="0"/>
                <w:szCs w:val="21"/>
                <w:lang w:bidi="ar"/>
              </w:rPr>
              <w:t>具备耐腐蚀、耐风化的特点；</w:t>
            </w:r>
          </w:p>
          <w:p w14:paraId="21055E2E">
            <w:pPr>
              <w:widowControl/>
              <w:numPr>
                <w:ilvl w:val="0"/>
                <w:numId w:val="11"/>
              </w:numPr>
              <w:spacing w:line="360" w:lineRule="auto"/>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需全程预埋。</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719CA8B4">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2000</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6E2D8043">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米</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61D47453">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57C5283B">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DC1774">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3</w:t>
            </w:r>
            <w:r>
              <w:rPr>
                <w:rFonts w:hint="eastAsia" w:ascii="Times New Roman" w:hAnsi="Times New Roman" w:cs="宋体"/>
                <w:color w:val="auto"/>
                <w:kern w:val="0"/>
                <w:szCs w:val="21"/>
                <w:lang w:val="en-US" w:eastAsia="zh-CN" w:bidi="ar"/>
              </w:rPr>
              <w:t>1</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3F7445B9">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辅材及配件</w:t>
            </w:r>
          </w:p>
        </w:tc>
        <w:tc>
          <w:tcPr>
            <w:tcW w:w="7434" w:type="dxa"/>
            <w:tcBorders>
              <w:top w:val="single" w:color="auto" w:sz="4" w:space="0"/>
              <w:left w:val="single" w:color="auto" w:sz="4" w:space="0"/>
              <w:bottom w:val="single" w:color="auto" w:sz="4" w:space="0"/>
              <w:right w:val="single" w:color="auto" w:sz="4" w:space="0"/>
            </w:tcBorders>
            <w:noWrap/>
            <w:vAlign w:val="center"/>
          </w:tcPr>
          <w:p w14:paraId="6568D667">
            <w:pPr>
              <w:widowControl/>
              <w:spacing w:line="360" w:lineRule="auto"/>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含监控系统施工所需的光纤收发器、五金配件、防水盒、端子排、管材安装固定件、水晶头、扎带、绝缘胶布等其他安装所需辅材。</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7C421846">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365C8394">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批</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0E2DFEC1">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bookmarkEnd w:id="131"/>
    </w:tbl>
    <w:p w14:paraId="555F5311">
      <w:pPr>
        <w:spacing w:before="93" w:beforeLines="30" w:after="93" w:afterLines="30" w:line="500" w:lineRule="exact"/>
        <w:jc w:val="left"/>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相关要求：</w:t>
      </w:r>
    </w:p>
    <w:p w14:paraId="0D24819E">
      <w:pPr>
        <w:numPr>
          <w:ilvl w:val="0"/>
          <w:numId w:val="12"/>
        </w:numPr>
        <w:spacing w:before="93" w:beforeLines="30" w:after="93" w:afterLines="30" w:line="500" w:lineRule="exact"/>
        <w:ind w:firstLine="437"/>
        <w:jc w:val="left"/>
        <w:outlineLvl w:val="1"/>
        <w:rPr>
          <w:rFonts w:hint="eastAsia" w:ascii="宋体" w:hAnsi="宋体" w:eastAsia="宋体" w:cs="宋体"/>
          <w:b/>
          <w:color w:val="auto"/>
          <w:sz w:val="24"/>
          <w:szCs w:val="24"/>
          <w:highlight w:val="none"/>
        </w:rPr>
      </w:pPr>
      <w:r>
        <w:rPr>
          <w:rFonts w:hint="eastAsia" w:ascii="宋体" w:hAnsi="宋体" w:eastAsia="宋体" w:cs="宋体"/>
          <w:color w:val="auto"/>
          <w:szCs w:val="21"/>
          <w:highlight w:val="none"/>
          <w:lang w:val="en-US" w:eastAsia="zh-CN"/>
        </w:rPr>
        <w:t>滁州学院新建学生宿舍15、16号楼未安装监控，楼宇周边重要部位监控探头不足，在安保处充分调研论证的基础上，需要对新建楼宇及周边部分重点部位安装监控，建立一套高效监控、存储、检索和报警联动功能集为一体的楼宇监控，充分发挥信息化技术在校园安全管理工作中的重要作用，进一步提高学校安全防范能力。接入学校的安防系统，并指导学校及物业单位使用及查看。</w:t>
      </w:r>
    </w:p>
    <w:p w14:paraId="534E1D16">
      <w:pPr>
        <w:numPr>
          <w:ilvl w:val="0"/>
          <w:numId w:val="0"/>
        </w:numPr>
        <w:spacing w:before="93" w:beforeLines="30" w:after="93" w:afterLines="30" w:line="500" w:lineRule="exact"/>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二、商务要求</w:t>
      </w:r>
    </w:p>
    <w:p w14:paraId="062E780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（一）货物的生产、安装、维修、检验、验收等按照以下原则执行：有国家标准的执行国家标准；无国家标准的执行行业标准；无行业标准的执行地方标准；无地方标准的执行企业标准。</w:t>
      </w:r>
    </w:p>
    <w:p w14:paraId="70D315D7">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382D1568">
      <w:pPr>
        <w:numPr>
          <w:ilvl w:val="0"/>
          <w:numId w:val="0"/>
        </w:numPr>
        <w:spacing w:line="5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（三）供货时所有货物（包括零部件）须为全新的、未使用过的原装正品，并完全符合国家质量标准，提供厂家出具的合格证书、有国家强制性认证要求的产品须提供相应证书。</w:t>
      </w:r>
    </w:p>
    <w:p w14:paraId="6A2C6859">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（四）技术支持</w:t>
      </w:r>
    </w:p>
    <w:p w14:paraId="4C3094FB">
      <w:pPr>
        <w:spacing w:line="5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1.中标人应向采购人提供全方位、及时而有效的技术支持和服务。</w:t>
      </w:r>
    </w:p>
    <w:p w14:paraId="71C7011D">
      <w:pPr>
        <w:spacing w:line="5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2.中标人负责供货、安装、调试。</w:t>
      </w:r>
    </w:p>
    <w:p w14:paraId="7011247C">
      <w:pPr>
        <w:spacing w:line="5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负责将货物的全部有关技术文件（外文应提供中文翻译资料，下同）、施工图纸、资料、测试、验收报告等汇集成册交付采购人，涉及进口的产品或部件配件软件等须提供中国海关进口货物报关单、完税证明及商检证明等材料。</w:t>
      </w:r>
    </w:p>
    <w:p w14:paraId="7AF1B7E2">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（五）质保及售后服务：</w:t>
      </w:r>
    </w:p>
    <w:p w14:paraId="7EB2B2D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1.中标人须提供至少</w:t>
      </w:r>
      <w:r>
        <w:rPr>
          <w:rFonts w:hint="eastAsia" w:ascii="宋体" w:hAnsi="宋体" w:eastAsia="宋体" w:cs="宋体"/>
          <w:color w:val="auto"/>
          <w:szCs w:val="21"/>
          <w:highlight w:val="none"/>
          <w:lang w:val="en-US" w:eastAsia="zh-CN"/>
        </w:rPr>
        <w:t>5年</w:t>
      </w:r>
      <w:r>
        <w:rPr>
          <w:rFonts w:hint="eastAsia" w:ascii="宋体" w:hAnsi="宋体" w:eastAsia="宋体" w:cs="宋体"/>
          <w:color w:val="auto"/>
          <w:szCs w:val="21"/>
          <w:highlight w:val="none"/>
        </w:rPr>
        <w:t>的免费质保服务（自验收合格之日起开始计算，如货物需求表中有特殊要求，以货物需求表和招标文件为准，具体免费质保期以中标人自行承诺的为准。），所有质保费用均已包含在投标报价中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施工要求：各报价人须现场勘查，材料清单所列内容和数量均为预估及参考量，实际使用材料数量由各报价人自行现场测量和计算，安装时符合消防、防水的规定和要求。报价为包死价，中途不得变更。          </w:t>
      </w:r>
    </w:p>
    <w:p w14:paraId="1A6EA398">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2、质量要求：           </w:t>
      </w:r>
    </w:p>
    <w:p w14:paraId="4D4B17B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①按标准化施工，质保期为五年，质保期内免费维修维护。</w:t>
      </w:r>
    </w:p>
    <w:p w14:paraId="5642751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②施工结束必须绘制监控线路图、接线图，室内（外）机柜和机房内每根线头都需做好线标并且能和接线图上标示一一对应。按照甲方要求编辑更新校区的监控点位名称，制作校区的监控点位</w:t>
      </w:r>
    </w:p>
    <w:p w14:paraId="623DF705">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表，制作监控点位图。</w:t>
      </w:r>
    </w:p>
    <w:p w14:paraId="7A5E52D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3、售后服务响应要求：</w:t>
      </w:r>
    </w:p>
    <w:p w14:paraId="60D8B03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投标人提供7×24小时的实时维护响应，在接到故障通知后，维护工程师需在规定的时间内，解决不同程度的故障，如不能及时修复，提供替代品，确保业务系统的正常运行。</w:t>
      </w:r>
    </w:p>
    <w:p w14:paraId="3C331510">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紧急故障（核心设备无法正常运行）应在15分钟内响应，1小时之内赶赴现场，2小时内对故障进行紧急处理，恢复业务基本运行。因不可抗力致使未按时到达现场除外。</w:t>
      </w:r>
    </w:p>
    <w:p w14:paraId="1427B92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严重故障（一般设备无法正常运行）应在30分钟内响应，2小时之内赶赴现场，4小时内对故障进行紧急处理，恢复业务基本运行。因不可抗力致使未按时到达现场除外。</w:t>
      </w:r>
    </w:p>
    <w:p w14:paraId="27F7635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一般故障（非业务设备无法正常运行）应在60分钟内响应，24小时之内恢复。</w:t>
      </w:r>
    </w:p>
    <w:p w14:paraId="6F394A79">
      <w:pPr>
        <w:numPr>
          <w:ilvl w:val="0"/>
          <w:numId w:val="0"/>
        </w:numPr>
        <w:spacing w:line="500" w:lineRule="exact"/>
        <w:ind w:leftChars="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培训要求：系统功能讲解，各设备功能讲解，图像调用，图像回放，数据导出，各前端设备功能讲解，系统维护操作，监控点位信息讲解。‌</w:t>
      </w:r>
    </w:p>
    <w:p w14:paraId="67793A6A">
      <w:pPr>
        <w:numPr>
          <w:ilvl w:val="0"/>
          <w:numId w:val="0"/>
        </w:numPr>
        <w:spacing w:line="500" w:lineRule="exact"/>
        <w:ind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（六）交货期: 自合同签订生效后，接到采购人通知之日起</w:t>
      </w:r>
      <w:r>
        <w:rPr>
          <w:rFonts w:hint="eastAsia" w:ascii="宋体" w:hAnsi="宋体" w:eastAsia="宋体" w:cs="宋体"/>
          <w:color w:val="auto"/>
          <w:szCs w:val="21"/>
          <w:highlight w:val="none"/>
          <w:lang w:val="en-US" w:eastAsia="zh-CN"/>
        </w:rPr>
        <w:t>50</w:t>
      </w:r>
      <w:r>
        <w:rPr>
          <w:rFonts w:hint="eastAsia" w:ascii="宋体" w:hAnsi="宋体" w:eastAsia="宋体" w:cs="宋体"/>
          <w:color w:val="auto"/>
          <w:szCs w:val="21"/>
          <w:highlight w:val="none"/>
        </w:rPr>
        <w:t>个日历天内完成货物的供货、安装、调试</w:t>
      </w:r>
      <w:r>
        <w:rPr>
          <w:rFonts w:hint="eastAsia" w:ascii="宋体" w:hAnsi="宋体" w:eastAsia="宋体" w:cs="宋体"/>
          <w:color w:val="auto"/>
          <w:szCs w:val="21"/>
          <w:highlight w:val="none"/>
          <w:lang w:val="en-US" w:eastAsia="zh-CN"/>
        </w:rPr>
        <w:t>及验收</w:t>
      </w:r>
      <w:r>
        <w:rPr>
          <w:rFonts w:hint="eastAsia" w:ascii="宋体" w:hAnsi="宋体" w:eastAsia="宋体" w:cs="宋体"/>
          <w:color w:val="auto"/>
          <w:szCs w:val="21"/>
          <w:highlight w:val="none"/>
        </w:rPr>
        <w:t>工作。</w:t>
      </w:r>
    </w:p>
    <w:p w14:paraId="3319B7F6">
      <w:pPr>
        <w:spacing w:line="500" w:lineRule="exact"/>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七</w:t>
      </w:r>
      <w:r>
        <w:rPr>
          <w:rFonts w:hint="eastAsia" w:ascii="宋体" w:hAnsi="宋体" w:eastAsia="宋体" w:cs="宋体"/>
          <w:color w:val="auto"/>
          <w:szCs w:val="21"/>
          <w:highlight w:val="none"/>
        </w:rPr>
        <w:t>）交货地点：滁州学院</w:t>
      </w:r>
      <w:r>
        <w:rPr>
          <w:rFonts w:hint="eastAsia" w:ascii="宋体" w:hAnsi="宋体" w:eastAsia="宋体" w:cs="宋体"/>
          <w:color w:val="auto"/>
          <w:szCs w:val="21"/>
          <w:highlight w:val="none"/>
          <w:lang w:val="en-US" w:eastAsia="zh-CN"/>
        </w:rPr>
        <w:t>校</w:t>
      </w:r>
      <w:r>
        <w:rPr>
          <w:rFonts w:hint="eastAsia" w:ascii="宋体" w:hAnsi="宋体" w:eastAsia="宋体" w:cs="宋体"/>
          <w:color w:val="auto"/>
          <w:szCs w:val="21"/>
          <w:highlight w:val="none"/>
        </w:rPr>
        <w:t>内，采购人指定地点</w:t>
      </w:r>
    </w:p>
    <w:p w14:paraId="5AD094F2">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）验收：</w:t>
      </w:r>
    </w:p>
    <w:p w14:paraId="2D3A0C8D">
      <w:pPr>
        <w:spacing w:line="5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14:paraId="494E0866">
      <w:pPr>
        <w:spacing w:line="5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358231B1">
      <w:pPr>
        <w:keepNext/>
        <w:tabs>
          <w:tab w:val="left" w:pos="420"/>
        </w:tabs>
        <w:spacing w:line="440" w:lineRule="exact"/>
        <w:ind w:firstLine="420"/>
        <w:jc w:val="left"/>
        <w:outlineLvl w:val="2"/>
        <w:rPr>
          <w:rFonts w:ascii="宋体"/>
          <w:b/>
          <w:color w:val="auto"/>
          <w:sz w:val="24"/>
          <w:highlight w:val="none"/>
        </w:rPr>
        <w:sectPr>
          <w:pgSz w:w="11906" w:h="16838"/>
          <w:pgMar w:top="1134" w:right="1417" w:bottom="1134" w:left="1417" w:header="850" w:footer="992" w:gutter="0"/>
          <w:cols w:space="0" w:num="1"/>
          <w:docGrid w:type="lines" w:linePitch="324" w:charSpace="0"/>
        </w:sect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九</w:t>
      </w:r>
      <w:r>
        <w:rPr>
          <w:rFonts w:hint="eastAsia" w:ascii="宋体" w:hAnsi="宋体" w:eastAsia="宋体" w:cs="宋体"/>
          <w:color w:val="auto"/>
          <w:szCs w:val="21"/>
          <w:highlight w:val="none"/>
        </w:rPr>
        <w:t>）付款方式：见投标人须知前附表</w:t>
      </w:r>
    </w:p>
    <w:bookmarkEnd w:id="130"/>
    <w:p w14:paraId="40471D45">
      <w:pPr>
        <w:pageBreakBefore/>
        <w:spacing w:before="162" w:beforeLines="50" w:after="162" w:afterLines="50" w:line="440" w:lineRule="exact"/>
        <w:jc w:val="center"/>
        <w:outlineLvl w:val="1"/>
        <w:rPr>
          <w:b/>
          <w:color w:val="auto"/>
          <w:sz w:val="30"/>
          <w:szCs w:val="30"/>
          <w:highlight w:val="none"/>
        </w:rPr>
      </w:pPr>
      <w:bookmarkStart w:id="132" w:name="_Toc30219"/>
      <w:r>
        <w:rPr>
          <w:rFonts w:hint="eastAsia" w:ascii="宋体" w:hAnsi="宋体" w:cs="宋体"/>
          <w:b/>
          <w:bCs/>
          <w:color w:val="auto"/>
          <w:sz w:val="32"/>
          <w:szCs w:val="32"/>
          <w:highlight w:val="none"/>
        </w:rPr>
        <w:t>第四章  合同条款及格式</w:t>
      </w:r>
      <w:bookmarkEnd w:id="132"/>
      <w:bookmarkStart w:id="133" w:name="_Toc58430330"/>
    </w:p>
    <w:bookmarkEnd w:id="133"/>
    <w:p w14:paraId="033AB8DC">
      <w:pPr>
        <w:widowControl/>
        <w:spacing w:line="440" w:lineRule="exact"/>
        <w:jc w:val="center"/>
        <w:textAlignment w:val="baseline"/>
        <w:outlineLvl w:val="2"/>
        <w:rPr>
          <w:rFonts w:ascii="黑体" w:eastAsia="黑体"/>
          <w:b/>
          <w:color w:val="auto"/>
          <w:szCs w:val="21"/>
          <w:highlight w:val="none"/>
        </w:rPr>
      </w:pPr>
      <w:bookmarkStart w:id="134" w:name="_Toc23143"/>
      <w:bookmarkStart w:id="135" w:name="_Toc15626"/>
      <w:r>
        <w:rPr>
          <w:rFonts w:hint="eastAsia" w:ascii="宋体"/>
          <w:b/>
          <w:color w:val="auto"/>
          <w:szCs w:val="21"/>
          <w:highlight w:val="none"/>
        </w:rPr>
        <w:t>一、合同协议书（格式）</w:t>
      </w:r>
      <w:bookmarkEnd w:id="134"/>
      <w:bookmarkEnd w:id="135"/>
    </w:p>
    <w:p w14:paraId="7ED28CC3">
      <w:pPr>
        <w:spacing w:line="440" w:lineRule="exact"/>
        <w:ind w:firstLine="420" w:firstLineChars="200"/>
        <w:rPr>
          <w:rFonts w:ascii="宋体"/>
          <w:bCs/>
          <w:color w:val="auto"/>
          <w:szCs w:val="21"/>
          <w:highlight w:val="none"/>
        </w:rPr>
      </w:pPr>
      <w:r>
        <w:rPr>
          <w:rFonts w:hint="eastAsia" w:ascii="宋体"/>
          <w:bCs/>
          <w:color w:val="auto"/>
          <w:szCs w:val="21"/>
          <w:highlight w:val="none"/>
        </w:rPr>
        <w:t>合同名称             编号</w:t>
      </w:r>
    </w:p>
    <w:p w14:paraId="6E6F019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买    方：                                   卖    方：</w:t>
      </w:r>
    </w:p>
    <w:p w14:paraId="339BD14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                                   电    话：</w:t>
      </w:r>
    </w:p>
    <w:p w14:paraId="7BB91E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住    所：                                   住    所：                       </w:t>
      </w:r>
    </w:p>
    <w:p w14:paraId="07CCA46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（买方）</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中所需</w:t>
      </w:r>
      <w:r>
        <w:rPr>
          <w:rFonts w:hint="eastAsia" w:ascii="宋体" w:hAnsi="宋体" w:cs="宋体"/>
          <w:color w:val="auto"/>
          <w:szCs w:val="21"/>
          <w:highlight w:val="none"/>
          <w:u w:val="single"/>
        </w:rPr>
        <w:t>（产品名称）</w:t>
      </w:r>
      <w:r>
        <w:rPr>
          <w:rFonts w:hint="eastAsia" w:ascii="宋体" w:hAnsi="宋体" w:cs="宋体"/>
          <w:color w:val="auto"/>
          <w:szCs w:val="21"/>
          <w:highlight w:val="none"/>
        </w:rPr>
        <w:t xml:space="preserve"> 经公开招标，确定</w:t>
      </w:r>
      <w:r>
        <w:rPr>
          <w:rFonts w:hint="eastAsia" w:ascii="宋体" w:hAnsi="宋体" w:cs="宋体"/>
          <w:color w:val="auto"/>
          <w:szCs w:val="21"/>
          <w:highlight w:val="none"/>
          <w:u w:val="single"/>
        </w:rPr>
        <w:t>（卖方）</w:t>
      </w:r>
      <w:r>
        <w:rPr>
          <w:rFonts w:hint="eastAsia" w:ascii="宋体" w:hAnsi="宋体" w:cs="宋体"/>
          <w:color w:val="auto"/>
          <w:szCs w:val="21"/>
          <w:highlight w:val="none"/>
        </w:rPr>
        <w:t>为中标人。按照《中华人民共和国民法典》的规定，买卖双方同意按照下述的条款和条件，签署本合同。</w:t>
      </w:r>
    </w:p>
    <w:p w14:paraId="50CBC5E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1.本合同文件</w:t>
      </w:r>
    </w:p>
    <w:p w14:paraId="3473270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下列每一文件均应作为合同的组成部分进行阅读和解释：</w:t>
      </w:r>
    </w:p>
    <w:p w14:paraId="40ABF1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（1）采购文件（2）投标文件（3）中标通知书（4）经双方确认进入合同的其他文件、补充条款或说明</w:t>
      </w:r>
    </w:p>
    <w:p w14:paraId="1F685EA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2.采购标的、数量、质量要求</w:t>
      </w:r>
    </w:p>
    <w:p w14:paraId="0203047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3.合同总价：合同总价为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48CEB84C">
      <w:pPr>
        <w:spacing w:line="440" w:lineRule="exact"/>
        <w:ind w:firstLine="422" w:firstLineChars="200"/>
        <w:jc w:val="left"/>
        <w:rPr>
          <w:b/>
          <w:bCs/>
          <w:color w:val="auto"/>
          <w:highlight w:val="none"/>
        </w:rPr>
      </w:pPr>
      <w:r>
        <w:rPr>
          <w:rFonts w:hint="eastAsia" w:ascii="宋体" w:hAnsi="宋体" w:cs="宋体"/>
          <w:b/>
          <w:bCs/>
          <w:color w:val="auto"/>
          <w:szCs w:val="21"/>
          <w:highlight w:val="none"/>
        </w:rPr>
        <w:t>4.付款方式：合同签订生效并具备实施条件后5个工作日内支付合同价的 40%预付款（预付款支付前，中标人须提供同等金额的见索即付预付款保函），全部供货安装调试完毕并由采购人验收合格后，一次性付清合同款。</w:t>
      </w:r>
    </w:p>
    <w:p w14:paraId="3D81138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5.合同供货（服务）期限：</w:t>
      </w:r>
      <w:r>
        <w:rPr>
          <w:rFonts w:hint="eastAsia" w:ascii="宋体" w:hAnsi="宋体" w:cs="宋体"/>
          <w:color w:val="auto"/>
          <w:szCs w:val="21"/>
          <w:highlight w:val="none"/>
          <w:lang w:eastAsia="zh-CN"/>
        </w:rPr>
        <w:t>自合同签订生效后，以采购人开工通知时间为准，50个日历天内完成货物的供货、安装、调试及验收工作</w:t>
      </w:r>
      <w:r>
        <w:rPr>
          <w:rFonts w:hint="eastAsia" w:ascii="宋体" w:hAnsi="宋体" w:cs="宋体"/>
          <w:color w:val="auto"/>
          <w:szCs w:val="21"/>
          <w:highlight w:val="none"/>
        </w:rPr>
        <w:t>。</w:t>
      </w:r>
    </w:p>
    <w:p w14:paraId="1BD608D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6.售后服务响应要求：</w:t>
      </w:r>
    </w:p>
    <w:p w14:paraId="7D1D024E">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项目验收合格后提供</w:t>
      </w:r>
      <w:r>
        <w:rPr>
          <w:rFonts w:hint="eastAsia" w:ascii="宋体" w:hAnsi="宋体"/>
          <w:color w:val="auto"/>
          <w:szCs w:val="21"/>
          <w:highlight w:val="none"/>
          <w:lang w:val="en-US" w:eastAsia="zh-CN"/>
        </w:rPr>
        <w:t>五</w:t>
      </w:r>
      <w:r>
        <w:rPr>
          <w:rFonts w:hint="eastAsia" w:ascii="宋体" w:hAnsi="宋体"/>
          <w:color w:val="auto"/>
          <w:szCs w:val="21"/>
          <w:highlight w:val="none"/>
        </w:rPr>
        <w:t>年免费售后服务。</w:t>
      </w:r>
    </w:p>
    <w:p w14:paraId="49C3C15B">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质保：提供</w:t>
      </w:r>
      <w:r>
        <w:rPr>
          <w:rFonts w:hint="eastAsia" w:ascii="宋体" w:hAnsi="宋体"/>
          <w:color w:val="auto"/>
          <w:szCs w:val="21"/>
          <w:highlight w:val="none"/>
          <w:lang w:val="en-US" w:eastAsia="zh-CN"/>
        </w:rPr>
        <w:t>不少于五</w:t>
      </w:r>
      <w:r>
        <w:rPr>
          <w:rFonts w:hint="eastAsia" w:ascii="宋体" w:hAnsi="宋体"/>
          <w:color w:val="auto"/>
          <w:szCs w:val="21"/>
          <w:highlight w:val="none"/>
        </w:rPr>
        <w:t>年7*24小时免费保修服务</w:t>
      </w:r>
      <w:r>
        <w:rPr>
          <w:rFonts w:hint="eastAsia" w:ascii="宋体" w:hAnsi="宋体"/>
          <w:color w:val="auto"/>
          <w:szCs w:val="21"/>
          <w:highlight w:val="none"/>
          <w:lang w:val="en-US" w:eastAsia="zh-CN"/>
        </w:rPr>
        <w:t>及</w:t>
      </w:r>
      <w:r>
        <w:rPr>
          <w:rFonts w:hint="eastAsia" w:ascii="宋体" w:hAnsi="宋体"/>
          <w:color w:val="auto"/>
          <w:szCs w:val="21"/>
          <w:highlight w:val="none"/>
        </w:rPr>
        <w:t>下一个工作日免费更换/维修服务，所有服务可在设备官网或400/800电话查询</w:t>
      </w:r>
      <w:r>
        <w:rPr>
          <w:rFonts w:hint="eastAsia" w:ascii="宋体" w:hAnsi="宋体"/>
          <w:color w:val="auto"/>
          <w:szCs w:val="21"/>
          <w:highlight w:val="none"/>
          <w:lang w:val="en-US" w:eastAsia="zh-CN"/>
        </w:rPr>
        <w:t>保持</w:t>
      </w:r>
      <w:r>
        <w:rPr>
          <w:rFonts w:hint="eastAsia" w:ascii="宋体" w:hAnsi="宋体"/>
          <w:color w:val="auto"/>
          <w:szCs w:val="21"/>
          <w:highlight w:val="none"/>
        </w:rPr>
        <w:t>一致。</w:t>
      </w:r>
    </w:p>
    <w:p w14:paraId="5CEE5602">
      <w:pPr>
        <w:numPr>
          <w:ilvl w:val="0"/>
          <w:numId w:val="13"/>
        </w:num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合同的生效</w:t>
      </w:r>
    </w:p>
    <w:p w14:paraId="3E666551">
      <w:pPr>
        <w:pStyle w:val="10"/>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合同经双方授权代表签署，买卖双方加盖印章之后生效。</w:t>
      </w:r>
    </w:p>
    <w:p w14:paraId="79499F0D">
      <w:pPr>
        <w:pStyle w:val="10"/>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本合同一式     份，双方各执     份。</w:t>
      </w:r>
    </w:p>
    <w:p w14:paraId="1867B2A2">
      <w:pPr>
        <w:pStyle w:val="10"/>
        <w:spacing w:line="440" w:lineRule="exact"/>
        <w:ind w:firstLine="420" w:firstLineChars="200"/>
        <w:rPr>
          <w:rFonts w:ascii="宋体" w:hAnsi="宋体" w:cs="宋体"/>
          <w:color w:val="auto"/>
          <w:kern w:val="0"/>
          <w:sz w:val="21"/>
          <w:szCs w:val="21"/>
          <w:highlight w:val="none"/>
          <w:u w:color="000000"/>
        </w:rPr>
      </w:pPr>
      <w:bookmarkStart w:id="136" w:name="_Toc152042388"/>
      <w:bookmarkStart w:id="137" w:name="_Toc247085768"/>
      <w:bookmarkStart w:id="138" w:name="_Toc152045610"/>
      <w:bookmarkStart w:id="139" w:name="_Toc179632628"/>
      <w:bookmarkStart w:id="140" w:name="_Toc144974578"/>
      <w:bookmarkStart w:id="141" w:name="_Toc449028947"/>
      <w:bookmarkStart w:id="142" w:name="_Toc246996253"/>
      <w:bookmarkStart w:id="143" w:name="_Toc296602498"/>
      <w:bookmarkStart w:id="144" w:name="_Toc246996996"/>
      <w:r>
        <w:rPr>
          <w:rFonts w:hint="eastAsia" w:ascii="宋体" w:hAnsi="宋体" w:cs="宋体"/>
          <w:color w:val="auto"/>
          <w:kern w:val="0"/>
          <w:sz w:val="21"/>
          <w:szCs w:val="21"/>
          <w:highlight w:val="none"/>
          <w:u w:color="000000"/>
        </w:rPr>
        <w:t>买  方：                               卖  方：</w:t>
      </w:r>
    </w:p>
    <w:p w14:paraId="5D3C9C89">
      <w:pPr>
        <w:pStyle w:val="10"/>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名  称：（盖章）                       名  称：（盖章）</w:t>
      </w:r>
    </w:p>
    <w:p w14:paraId="794E09A2">
      <w:pPr>
        <w:pStyle w:val="10"/>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法定代表人（或委托代理人）：（签字）  法定代表人（或委托代理人）：（签字）</w:t>
      </w:r>
    </w:p>
    <w:p w14:paraId="41D49233">
      <w:pPr>
        <w:pStyle w:val="10"/>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地    址：                            地    址：</w:t>
      </w:r>
    </w:p>
    <w:p w14:paraId="12F97C3B">
      <w:pPr>
        <w:pStyle w:val="10"/>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邮政编码：                            邮政编码：</w:t>
      </w:r>
    </w:p>
    <w:p w14:paraId="081FA4C6">
      <w:pPr>
        <w:pStyle w:val="10"/>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电    话：                            电    话：</w:t>
      </w:r>
    </w:p>
    <w:p w14:paraId="41010264">
      <w:pPr>
        <w:pStyle w:val="10"/>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开户银行：                            开户银行：</w:t>
      </w:r>
    </w:p>
    <w:p w14:paraId="5EC59496">
      <w:pPr>
        <w:pStyle w:val="10"/>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帐    号：                            帐    号：</w:t>
      </w:r>
    </w:p>
    <w:p w14:paraId="5CE22BA9">
      <w:pPr>
        <w:widowControl/>
        <w:spacing w:line="400" w:lineRule="exact"/>
        <w:jc w:val="center"/>
        <w:textAlignment w:val="baseline"/>
        <w:outlineLvl w:val="2"/>
        <w:rPr>
          <w:rFonts w:ascii="黑体" w:eastAsia="黑体"/>
          <w:b/>
          <w:color w:val="auto"/>
          <w:sz w:val="30"/>
          <w:szCs w:val="30"/>
          <w:highlight w:val="none"/>
        </w:rPr>
      </w:pPr>
      <w:r>
        <w:rPr>
          <w:rFonts w:ascii="黑体" w:eastAsia="黑体"/>
          <w:b/>
          <w:color w:val="auto"/>
          <w:sz w:val="30"/>
          <w:szCs w:val="30"/>
          <w:highlight w:val="none"/>
        </w:rPr>
        <w:br w:type="page"/>
      </w:r>
      <w:bookmarkStart w:id="145" w:name="_Toc6951"/>
      <w:bookmarkStart w:id="146" w:name="_Toc58430331"/>
      <w:bookmarkStart w:id="147" w:name="_Toc5798"/>
      <w:r>
        <w:rPr>
          <w:rFonts w:hint="eastAsia" w:ascii="宋体"/>
          <w:b/>
          <w:color w:val="auto"/>
          <w:sz w:val="30"/>
          <w:szCs w:val="30"/>
          <w:highlight w:val="none"/>
        </w:rPr>
        <w:t>二、合同条款</w:t>
      </w:r>
      <w:bookmarkEnd w:id="136"/>
      <w:bookmarkEnd w:id="137"/>
      <w:bookmarkEnd w:id="138"/>
      <w:bookmarkEnd w:id="139"/>
      <w:bookmarkEnd w:id="140"/>
      <w:bookmarkEnd w:id="141"/>
      <w:bookmarkEnd w:id="142"/>
      <w:bookmarkEnd w:id="143"/>
      <w:bookmarkEnd w:id="144"/>
      <w:bookmarkEnd w:id="145"/>
      <w:bookmarkEnd w:id="146"/>
      <w:bookmarkEnd w:id="147"/>
    </w:p>
    <w:p w14:paraId="6BB1E52F">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  合同文件</w:t>
      </w:r>
    </w:p>
    <w:p w14:paraId="22B2206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1.合同文件适用法律</w:t>
      </w:r>
    </w:p>
    <w:p w14:paraId="2691F1A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适用于合同文件的法律是中华人民共和国现行法律法规及采购人所在地的地方性法规。</w:t>
      </w:r>
    </w:p>
    <w:p w14:paraId="47F04C2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2.合同文件组成和解释顺序</w:t>
      </w:r>
    </w:p>
    <w:p w14:paraId="68A6BF72">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（1）合同文件的组成和解释顺序如下：</w:t>
      </w:r>
    </w:p>
    <w:p w14:paraId="600B709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&lt;1〉合同的主要条款；</w:t>
      </w:r>
    </w:p>
    <w:p w14:paraId="31EB84E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&lt;2〉合同的一般性条款；</w:t>
      </w:r>
    </w:p>
    <w:p w14:paraId="3356A4A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&lt;3〉洽商、变更等明确双方权利义务的纪要、协议；</w:t>
      </w:r>
    </w:p>
    <w:p w14:paraId="1DF680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&lt;4〉中标通知书、投标文件和采购文件；</w:t>
      </w:r>
    </w:p>
    <w:p w14:paraId="14BF553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&lt;5〉有关图纸、标准、规范和其他有关技术资料、技术要求。</w:t>
      </w:r>
    </w:p>
    <w:p w14:paraId="0B34B04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&lt;6〉合同的主要条款的效力优于合同的一般性条款的效力。</w:t>
      </w:r>
    </w:p>
    <w:p w14:paraId="7F5BDF2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3.合同文件使用文字</w:t>
      </w:r>
    </w:p>
    <w:p w14:paraId="028C8D99">
      <w:pPr>
        <w:pStyle w:val="7"/>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（1）合同文件使用中文书写、解释和说明。</w:t>
      </w:r>
    </w:p>
    <w:p w14:paraId="6520E37F">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 xml:space="preserve">（2）合同文件使用技术性条款约定的为国家标准和规范；国家没有相应标准、规范时，可使用行业标准、规范。非标货物应按约定的技术性条款的标准和规范。 </w:t>
      </w:r>
    </w:p>
    <w:p w14:paraId="39C472D4">
      <w:pPr>
        <w:spacing w:line="440" w:lineRule="exact"/>
        <w:ind w:firstLine="422" w:firstLineChars="200"/>
        <w:jc w:val="left"/>
        <w:outlineLvl w:val="2"/>
        <w:rPr>
          <w:rFonts w:ascii="宋体" w:hAnsi="宋体" w:cs="宋体"/>
          <w:b/>
          <w:color w:val="auto"/>
          <w:szCs w:val="21"/>
          <w:highlight w:val="none"/>
        </w:rPr>
      </w:pPr>
      <w:bookmarkStart w:id="148" w:name="_Toc24159"/>
      <w:r>
        <w:rPr>
          <w:rFonts w:hint="eastAsia" w:ascii="宋体" w:hAnsi="宋体" w:cs="宋体"/>
          <w:b/>
          <w:color w:val="auto"/>
          <w:szCs w:val="21"/>
          <w:highlight w:val="none"/>
        </w:rPr>
        <w:t>二.  标的物的一般条款</w:t>
      </w:r>
      <w:bookmarkEnd w:id="148"/>
    </w:p>
    <w:p w14:paraId="40760AE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4.完整物权</w:t>
      </w:r>
    </w:p>
    <w:p w14:paraId="0B8C27BE">
      <w:pPr>
        <w:tabs>
          <w:tab w:val="left" w:pos="660"/>
        </w:tabs>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对于出卖的标的物，卖方应当拥有完整物权，并且卖方负有保证第三人不得向买方主张任何权利（包括知识产权）的义务。</w:t>
      </w:r>
    </w:p>
    <w:p w14:paraId="1ADD5AE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5.质量保证</w:t>
      </w:r>
    </w:p>
    <w:p w14:paraId="38F3F55A">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保证所提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2185D75">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7BC60A39">
      <w:pPr>
        <w:pStyle w:val="7"/>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778319C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6.包装</w:t>
      </w:r>
    </w:p>
    <w:p w14:paraId="7B81D05E">
      <w:pPr>
        <w:pStyle w:val="7"/>
        <w:tabs>
          <w:tab w:val="left" w:pos="900"/>
        </w:tabs>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23B2F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7.伴随服务</w:t>
      </w:r>
    </w:p>
    <w:p w14:paraId="7A9486B6">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（1）卖方除应履行按期按量交付合格标的物的义务之外，还应提供下列服务：</w:t>
      </w:r>
    </w:p>
    <w:p w14:paraId="2F00F90B">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&lt;1〉标的物的现场安装或指导安装、启动、调试、监督（如果必须安装、调试的话）；</w:t>
      </w:r>
    </w:p>
    <w:p w14:paraId="535ED776">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&lt;2〉提供标的物组装和一般维修所必需的工具；</w:t>
      </w:r>
    </w:p>
    <w:p w14:paraId="787CBA1B">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&lt;3〉在合同规定的期限内对所提供标的物实行运行监督、维修服务的前提条件是该服务并不能免除卖方在质量保证期内所承担的义务；</w:t>
      </w:r>
    </w:p>
    <w:p w14:paraId="63FCA1C1">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&lt;4〉对买方技术人员的技术指导或培训。</w:t>
      </w:r>
    </w:p>
    <w:p w14:paraId="6DD6645E">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（2）除合同另有规定之外，伴随服务的费用均包含在合同价款中，买方不再另行进行支付。</w:t>
      </w:r>
    </w:p>
    <w:p w14:paraId="54D562A2">
      <w:pPr>
        <w:spacing w:line="440" w:lineRule="exact"/>
        <w:ind w:firstLine="422" w:firstLineChars="200"/>
        <w:jc w:val="left"/>
        <w:outlineLvl w:val="2"/>
        <w:rPr>
          <w:rFonts w:ascii="宋体" w:hAnsi="宋体" w:cs="宋体"/>
          <w:b/>
          <w:color w:val="auto"/>
          <w:szCs w:val="21"/>
          <w:highlight w:val="none"/>
        </w:rPr>
      </w:pPr>
      <w:bookmarkStart w:id="149" w:name="_Toc10370"/>
      <w:r>
        <w:rPr>
          <w:rFonts w:hint="eastAsia" w:ascii="宋体" w:hAnsi="宋体" w:cs="宋体"/>
          <w:b/>
          <w:color w:val="auto"/>
          <w:szCs w:val="21"/>
          <w:highlight w:val="none"/>
        </w:rPr>
        <w:t>三.  标的物的交付、检验和验收</w:t>
      </w:r>
      <w:bookmarkEnd w:id="149"/>
    </w:p>
    <w:p w14:paraId="1935BDB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8.标的物的交付</w:t>
      </w:r>
    </w:p>
    <w:p w14:paraId="3DBAE4CD">
      <w:pPr>
        <w:pStyle w:val="7"/>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（1）标的物的所有权自标的物交付时转移。</w:t>
      </w:r>
    </w:p>
    <w:p w14:paraId="45E85A79">
      <w:pPr>
        <w:pStyle w:val="7"/>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（2）卖方应当按照约定的期限和约定的地点交付符合采购文件要求的标的物。</w:t>
      </w:r>
    </w:p>
    <w:p w14:paraId="7DE3B12A">
      <w:pPr>
        <w:pStyle w:val="7"/>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（3）卖方应当按照约定或者交易习惯向采购人交付提取标的物单证以外的有关单证和资料。</w:t>
      </w:r>
    </w:p>
    <w:p w14:paraId="231096F7">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9.检验和验收</w:t>
      </w:r>
    </w:p>
    <w:p w14:paraId="4E7C3B33">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EF7F995">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（2）买方根据合同规定的内容和验收标准进行验收，经检验无误后出具验收合格证明，该证明作为最终付款所需文件的组成部分。</w:t>
      </w:r>
    </w:p>
    <w:p w14:paraId="5A2E8BBD">
      <w:pPr>
        <w:pStyle w:val="7"/>
        <w:overflowPunct w:val="0"/>
        <w:spacing w:line="440" w:lineRule="exact"/>
        <w:ind w:firstLine="420" w:firstLineChars="20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w:t>
      </w:r>
      <w:r>
        <w:rPr>
          <w:rFonts w:hint="eastAsia" w:ascii="宋体" w:hAnsi="宋体" w:cs="宋体"/>
          <w:color w:val="auto"/>
          <w:sz w:val="21"/>
          <w:szCs w:val="21"/>
          <w:highlight w:val="none"/>
        </w:rPr>
        <w:t>验收期限自供应商履约完成且提出验收申请后5个工作日内由采购人组织专家进行验收，特殊情况需延长的，双方应在合同条款中约定特殊情况需延长的，双方应在合同条款中约定</w:t>
      </w:r>
      <w:r>
        <w:rPr>
          <w:rFonts w:hint="eastAsia" w:ascii="宋体" w:hAnsi="宋体" w:cs="宋体"/>
          <w:color w:val="auto"/>
          <w:sz w:val="21"/>
          <w:szCs w:val="21"/>
          <w:highlight w:val="none"/>
          <w:u w:color="000000"/>
        </w:rPr>
        <w:t>。</w:t>
      </w:r>
    </w:p>
    <w:p w14:paraId="46B3BDDB">
      <w:pPr>
        <w:spacing w:line="440" w:lineRule="exact"/>
        <w:ind w:firstLine="422" w:firstLineChars="200"/>
        <w:jc w:val="left"/>
        <w:outlineLvl w:val="2"/>
        <w:rPr>
          <w:rFonts w:ascii="宋体" w:hAnsi="宋体" w:cs="宋体"/>
          <w:b/>
          <w:color w:val="auto"/>
          <w:szCs w:val="21"/>
          <w:highlight w:val="none"/>
        </w:rPr>
      </w:pPr>
      <w:bookmarkStart w:id="150" w:name="_Toc25119"/>
      <w:r>
        <w:rPr>
          <w:rFonts w:hint="eastAsia" w:ascii="宋体" w:hAnsi="宋体" w:cs="宋体"/>
          <w:b/>
          <w:color w:val="auto"/>
          <w:szCs w:val="21"/>
          <w:highlight w:val="none"/>
        </w:rPr>
        <w:t>四. 对标的物提出异议的时间和办法</w:t>
      </w:r>
      <w:bookmarkEnd w:id="150"/>
    </w:p>
    <w:p w14:paraId="78875F7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 xml:space="preserve">10.对标的物提出异议的时间和办法 </w:t>
      </w:r>
    </w:p>
    <w:p w14:paraId="7C670B95">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（1）买方在验收过程中，应当于双方约定的检验期间内将标的物的数量或质量不符合约定的情形及处理方式以书面形式通知卖方。</w:t>
      </w:r>
    </w:p>
    <w:p w14:paraId="183456EE">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（2）如买方在验收期满后既不出具验收合格证明又未提出书面异议的视为卖方所交标的物符合合同规定。</w:t>
      </w:r>
    </w:p>
    <w:p w14:paraId="2AF7AF6B">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（3）卖方应在收到买方书面异议后七天内负责处理问题，否则将视为默认买方提出的异议和处理意见。</w:t>
      </w:r>
    </w:p>
    <w:p w14:paraId="7B11763B">
      <w:pPr>
        <w:spacing w:line="440" w:lineRule="exact"/>
        <w:ind w:firstLine="422" w:firstLineChars="200"/>
        <w:jc w:val="left"/>
        <w:outlineLvl w:val="2"/>
        <w:rPr>
          <w:rFonts w:ascii="宋体" w:hAnsi="宋体" w:cs="宋体"/>
          <w:b/>
          <w:color w:val="auto"/>
          <w:szCs w:val="21"/>
          <w:highlight w:val="none"/>
        </w:rPr>
      </w:pPr>
      <w:bookmarkStart w:id="151" w:name="_Toc14696"/>
      <w:r>
        <w:rPr>
          <w:rFonts w:hint="eastAsia" w:ascii="宋体" w:hAnsi="宋体" w:cs="宋体"/>
          <w:b/>
          <w:color w:val="auto"/>
          <w:szCs w:val="21"/>
          <w:highlight w:val="none"/>
        </w:rPr>
        <w:t>五. 合同价款和支付</w:t>
      </w:r>
      <w:bookmarkEnd w:id="151"/>
    </w:p>
    <w:p w14:paraId="67F1B7E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11.合同价款和支付</w:t>
      </w:r>
    </w:p>
    <w:p w14:paraId="3F283C15">
      <w:pPr>
        <w:pStyle w:val="7"/>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（1）本合同的结算货币为人民币，单位元。</w:t>
      </w:r>
    </w:p>
    <w:p w14:paraId="0595C973">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（2）卖方应按照双方签订的合同规定交货并在合同主要条款规定的期限内持下列单据结算货款：</w:t>
      </w:r>
    </w:p>
    <w:p w14:paraId="5E5DEFC2">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&lt;1〉合格的销售发票；</w:t>
      </w:r>
    </w:p>
    <w:p w14:paraId="54C3BB0B">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&lt;2〉买方盖章签收后的送货回单和验收合格证明。</w:t>
      </w:r>
    </w:p>
    <w:p w14:paraId="73EB7F77">
      <w:pPr>
        <w:pStyle w:val="7"/>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（3）买方应按合同主要条款规定的期限和方式付款。</w:t>
      </w:r>
    </w:p>
    <w:p w14:paraId="2C85FCB5">
      <w:pPr>
        <w:pStyle w:val="7"/>
        <w:tabs>
          <w:tab w:val="left" w:pos="54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（4）根据现行税法对买方征收的与本合同有关的一切税费均由买方承担；根据现行税法对卖方征收的与本合同有关的一切税费均由卖方承担。</w:t>
      </w:r>
    </w:p>
    <w:p w14:paraId="2B3C64A0">
      <w:pPr>
        <w:spacing w:line="440" w:lineRule="exact"/>
        <w:ind w:firstLine="422" w:firstLineChars="200"/>
        <w:jc w:val="left"/>
        <w:outlineLvl w:val="2"/>
        <w:rPr>
          <w:rFonts w:ascii="宋体" w:hAnsi="宋体" w:cs="宋体"/>
          <w:b/>
          <w:color w:val="auto"/>
          <w:szCs w:val="21"/>
          <w:highlight w:val="none"/>
        </w:rPr>
      </w:pPr>
      <w:bookmarkStart w:id="152" w:name="_Toc668"/>
      <w:r>
        <w:rPr>
          <w:rFonts w:hint="eastAsia" w:ascii="宋体" w:hAnsi="宋体" w:cs="宋体"/>
          <w:b/>
          <w:color w:val="auto"/>
          <w:szCs w:val="21"/>
          <w:highlight w:val="none"/>
        </w:rPr>
        <w:t>六. 违约责任</w:t>
      </w:r>
      <w:bookmarkEnd w:id="152"/>
    </w:p>
    <w:p w14:paraId="46ED22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12.违约责任</w:t>
      </w:r>
    </w:p>
    <w:p w14:paraId="125CA954">
      <w:pPr>
        <w:pStyle w:val="7"/>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合同一方不履行合同义务或者履行合同义务不符合约定的，应当承担继续履行、采取补救措施或者赔偿损失等违约责任。</w:t>
      </w:r>
    </w:p>
    <w:p w14:paraId="07D8BE5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13.买方违约责任</w:t>
      </w:r>
    </w:p>
    <w:p w14:paraId="210B5D70">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（1）在合同生效后，买方要求退货的，应向卖方偿付合同总价款的5%，作为违约金，违约金不足以补偿损失的，卖方有权要求甲方补足。</w:t>
      </w:r>
    </w:p>
    <w:p w14:paraId="4C0C43E4">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（2）买方逾期付款的应按照逾期付款金额的每天万分之四支付逾期付款违约金。</w:t>
      </w:r>
    </w:p>
    <w:p w14:paraId="0D955022">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（3）买方违反合同规定，拒绝接收卖方交付的符合采购文件要求的合格标的物，应当承担卖方由此造成的损失。</w:t>
      </w:r>
    </w:p>
    <w:p w14:paraId="342FD4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14.卖方违约责任</w:t>
      </w:r>
    </w:p>
    <w:p w14:paraId="2A0011FA">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5FBE5EB6">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（2）卖方逾期交货的，应在发货前与买方和采购管理部门协商，买方仍需求的，卖方应立即发货并应按照逾期交货部分货款的每天万分之四支付逾期交货违约金，同时承担买方因此遭致的损失费用。</w:t>
      </w:r>
    </w:p>
    <w:p w14:paraId="254463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15.不可抗力</w:t>
      </w:r>
    </w:p>
    <w:p w14:paraId="4BA926B9">
      <w:pPr>
        <w:pStyle w:val="7"/>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（1）因水灾、火灾、地震、战争等不可抗力不能履行合同的，根据不可抗力的影响，部分或者全部免除责任。但合同一方迟延履行后发生不可抗力的，不能免除责任。</w:t>
      </w:r>
    </w:p>
    <w:p w14:paraId="333F5429">
      <w:pPr>
        <w:pStyle w:val="7"/>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（2）合同一方因不可抗力不能履行合同的，应当及时通知对方，以减轻可能给对方造成的损失，并应当在合理期限内提供证明。</w:t>
      </w:r>
    </w:p>
    <w:p w14:paraId="1F8C7147">
      <w:pPr>
        <w:spacing w:line="440" w:lineRule="exact"/>
        <w:ind w:firstLine="422" w:firstLineChars="200"/>
        <w:jc w:val="left"/>
        <w:outlineLvl w:val="2"/>
        <w:rPr>
          <w:rFonts w:ascii="宋体" w:hAnsi="宋体" w:cs="宋体"/>
          <w:b/>
          <w:color w:val="auto"/>
          <w:szCs w:val="21"/>
          <w:highlight w:val="none"/>
        </w:rPr>
      </w:pPr>
      <w:bookmarkStart w:id="153" w:name="_Toc26498"/>
      <w:r>
        <w:rPr>
          <w:rFonts w:hint="eastAsia" w:ascii="宋体" w:hAnsi="宋体" w:cs="宋体"/>
          <w:b/>
          <w:color w:val="auto"/>
          <w:szCs w:val="21"/>
          <w:highlight w:val="none"/>
        </w:rPr>
        <w:t>七. 索赔</w:t>
      </w:r>
      <w:bookmarkEnd w:id="153"/>
    </w:p>
    <w:p w14:paraId="69E2761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16.索赔</w:t>
      </w:r>
    </w:p>
    <w:p w14:paraId="2FD99DF6">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（1）买方有权根据当地产品质量检验机构或其他权威部门出具的检验证书向卖方提出索赔。</w:t>
      </w:r>
    </w:p>
    <w:p w14:paraId="4A8DAA07">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（2）在本合同规定的检验期和质量保证期内，如果卖方对买方提出的索赔或差异有责任，则卖方应按买方同意的下列一种或多种方式解决索赔事宜：</w:t>
      </w:r>
    </w:p>
    <w:p w14:paraId="37C0A935">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&lt;1〉卖方同意退货，并按合同规定的货币将货款退还给买方，并承担由此发生的一切损失和费用，包括利息、银行手续费、运费、保险费、检验费、仓储费、装卸费以及为保护退回标的物所需的其他必要费用；</w:t>
      </w:r>
    </w:p>
    <w:p w14:paraId="752827D9">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&lt;2〉根据标的物的低劣程度、损坏程度以及甲方遭受损失的数额，经双方协商确定降低标的物的价格；</w:t>
      </w:r>
    </w:p>
    <w:p w14:paraId="208DA89E">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58A87BE">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E8675C3">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（4）买方提出索赔的书面材料应报当地采购管理部门备案。卖方同意的索赔方案应报当地采购管理部门审核。</w:t>
      </w:r>
    </w:p>
    <w:p w14:paraId="6760AFDA">
      <w:pPr>
        <w:spacing w:line="440" w:lineRule="exact"/>
        <w:ind w:firstLine="422" w:firstLineChars="200"/>
        <w:jc w:val="left"/>
        <w:outlineLvl w:val="2"/>
        <w:rPr>
          <w:rFonts w:ascii="宋体" w:hAnsi="宋体" w:cs="宋体"/>
          <w:b/>
          <w:color w:val="auto"/>
          <w:szCs w:val="21"/>
          <w:highlight w:val="none"/>
        </w:rPr>
      </w:pPr>
      <w:bookmarkStart w:id="154" w:name="_Toc5362"/>
      <w:r>
        <w:rPr>
          <w:rFonts w:hint="eastAsia" w:ascii="宋体" w:hAnsi="宋体" w:cs="宋体"/>
          <w:b/>
          <w:color w:val="auto"/>
          <w:szCs w:val="21"/>
          <w:highlight w:val="none"/>
        </w:rPr>
        <w:t>八. 履约保证金</w:t>
      </w:r>
      <w:bookmarkEnd w:id="154"/>
    </w:p>
    <w:p w14:paraId="03471B4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17.履约保证金</w:t>
      </w:r>
    </w:p>
    <w:p w14:paraId="59ED7D61">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（1）卖方应在本合同签订时，按采购文件的约定提供相应的履约保证金，保证金的有效期应不低于合同有效期。</w:t>
      </w:r>
    </w:p>
    <w:p w14:paraId="06EFDA3F">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（2）如果卖方未能履行合同规定的任何义务，买方有权从履约保证金中取得补偿。</w:t>
      </w:r>
    </w:p>
    <w:p w14:paraId="3A944B80">
      <w:pPr>
        <w:pStyle w:val="7"/>
        <w:overflowPunct w:val="0"/>
        <w:spacing w:line="440" w:lineRule="exact"/>
        <w:ind w:firstLine="422" w:firstLineChars="200"/>
        <w:jc w:val="left"/>
        <w:outlineLvl w:val="2"/>
        <w:rPr>
          <w:rFonts w:ascii="宋体" w:hAnsi="宋体" w:cs="宋体"/>
          <w:b/>
          <w:color w:val="auto"/>
          <w:sz w:val="21"/>
          <w:szCs w:val="21"/>
          <w:highlight w:val="none"/>
        </w:rPr>
      </w:pPr>
      <w:bookmarkStart w:id="155" w:name="_Toc7821"/>
      <w:r>
        <w:rPr>
          <w:rFonts w:hint="eastAsia" w:ascii="宋体" w:hAnsi="宋体" w:cs="宋体"/>
          <w:b/>
          <w:color w:val="auto"/>
          <w:sz w:val="21"/>
          <w:szCs w:val="21"/>
          <w:highlight w:val="none"/>
        </w:rPr>
        <w:t>九.  合同的解除和转让</w:t>
      </w:r>
      <w:bookmarkEnd w:id="155"/>
    </w:p>
    <w:p w14:paraId="6621323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18.合同的解除</w:t>
      </w:r>
    </w:p>
    <w:p w14:paraId="22900AC0">
      <w:pPr>
        <w:pStyle w:val="7"/>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（1）买方和卖方协商一致，可以解除合同。</w:t>
      </w:r>
    </w:p>
    <w:p w14:paraId="0AF92605">
      <w:pPr>
        <w:pStyle w:val="7"/>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（2）有下列情形之一，合同一方可以解除合同：</w:t>
      </w:r>
    </w:p>
    <w:p w14:paraId="13343F1F">
      <w:pPr>
        <w:pStyle w:val="7"/>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&lt;1〉因不可抗力致使不能实现合同目的，未受不可抗力影响的一方有权解除合同；</w:t>
      </w:r>
    </w:p>
    <w:p w14:paraId="56664FAB">
      <w:pPr>
        <w:pStyle w:val="7"/>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&lt;2〉因合同一方违约导致合同不能履行，另一方有权解除合同。</w:t>
      </w:r>
    </w:p>
    <w:p w14:paraId="2E0B30EF">
      <w:pPr>
        <w:pStyle w:val="7"/>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（3）有权解除合同的一方，应当在违约事实或不可抗力发生之后三十天内书面通知对方以主张解除合同，合同在书面通知到达对方时解除。</w:t>
      </w:r>
    </w:p>
    <w:p w14:paraId="7E61042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19.合同的转让</w:t>
      </w:r>
    </w:p>
    <w:p w14:paraId="6AEA643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合同的部分和全部都不得转让。</w:t>
      </w:r>
    </w:p>
    <w:p w14:paraId="3D13E74D">
      <w:pPr>
        <w:spacing w:line="440" w:lineRule="exact"/>
        <w:ind w:firstLine="422" w:firstLineChars="200"/>
        <w:jc w:val="left"/>
        <w:outlineLvl w:val="2"/>
        <w:rPr>
          <w:rFonts w:ascii="宋体" w:hAnsi="宋体" w:cs="宋体"/>
          <w:b/>
          <w:color w:val="auto"/>
          <w:szCs w:val="21"/>
          <w:highlight w:val="none"/>
        </w:rPr>
      </w:pPr>
      <w:bookmarkStart w:id="156" w:name="_Toc15690"/>
      <w:r>
        <w:rPr>
          <w:rFonts w:hint="eastAsia" w:ascii="宋体" w:hAnsi="宋体" w:cs="宋体"/>
          <w:b/>
          <w:color w:val="auto"/>
          <w:szCs w:val="21"/>
          <w:highlight w:val="none"/>
        </w:rPr>
        <w:t>十. 合同的生效</w:t>
      </w:r>
      <w:bookmarkEnd w:id="156"/>
    </w:p>
    <w:p w14:paraId="3F9D53E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20.合同的生效</w:t>
      </w:r>
    </w:p>
    <w:p w14:paraId="11A8CA7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本合同在双方签字盖章后生效。</w:t>
      </w:r>
    </w:p>
    <w:p w14:paraId="136B1EC1">
      <w:pPr>
        <w:spacing w:line="440" w:lineRule="exact"/>
        <w:ind w:firstLine="422" w:firstLineChars="200"/>
        <w:jc w:val="left"/>
        <w:outlineLvl w:val="2"/>
        <w:rPr>
          <w:rFonts w:ascii="宋体" w:hAnsi="宋体" w:cs="宋体"/>
          <w:b/>
          <w:color w:val="auto"/>
          <w:szCs w:val="21"/>
          <w:highlight w:val="none"/>
        </w:rPr>
      </w:pPr>
      <w:bookmarkStart w:id="157" w:name="_Toc4181"/>
      <w:r>
        <w:rPr>
          <w:rFonts w:hint="eastAsia" w:ascii="宋体" w:hAnsi="宋体" w:cs="宋体"/>
          <w:b/>
          <w:color w:val="auto"/>
          <w:szCs w:val="21"/>
          <w:highlight w:val="none"/>
        </w:rPr>
        <w:t>十一. 争议解决</w:t>
      </w:r>
      <w:bookmarkEnd w:id="157"/>
    </w:p>
    <w:p w14:paraId="0F879374">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21.争议解决</w:t>
      </w:r>
    </w:p>
    <w:p w14:paraId="5F308B9A">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买卖双方因合同发生争议，进行调解，协商不成，可选择：</w:t>
      </w:r>
    </w:p>
    <w:p w14:paraId="64687134">
      <w:pPr>
        <w:pStyle w:val="7"/>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（1）双方同时</w:t>
      </w:r>
      <w:r>
        <w:rPr>
          <w:rFonts w:hint="eastAsia" w:ascii="宋体" w:hAnsi="宋体" w:cs="宋体"/>
          <w:color w:val="auto"/>
          <w:sz w:val="21"/>
          <w:szCs w:val="21"/>
          <w:highlight w:val="none"/>
        </w:rPr>
        <w:t>将争议提交滁州仲裁委员会</w:t>
      </w:r>
      <w:r>
        <w:rPr>
          <w:rFonts w:hint="eastAsia" w:ascii="宋体" w:hAnsi="宋体" w:cs="宋体"/>
          <w:color w:val="auto"/>
          <w:sz w:val="21"/>
          <w:szCs w:val="21"/>
          <w:highlight w:val="none"/>
          <w:u w:color="000000"/>
        </w:rPr>
        <w:t>进行仲裁；</w:t>
      </w:r>
    </w:p>
    <w:p w14:paraId="15CBC510">
      <w:pPr>
        <w:pStyle w:val="7"/>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（2）向买方所在地人民法院提起诉讼。</w:t>
      </w:r>
    </w:p>
    <w:p w14:paraId="4553C33D">
      <w:pPr>
        <w:spacing w:line="440" w:lineRule="exact"/>
        <w:ind w:firstLine="422" w:firstLineChars="200"/>
        <w:jc w:val="left"/>
        <w:outlineLvl w:val="2"/>
        <w:rPr>
          <w:rFonts w:ascii="宋体" w:hAnsi="宋体" w:cs="宋体"/>
          <w:b/>
          <w:color w:val="auto"/>
          <w:szCs w:val="21"/>
          <w:highlight w:val="none"/>
        </w:rPr>
      </w:pPr>
      <w:bookmarkStart w:id="158" w:name="_Toc9120"/>
      <w:r>
        <w:rPr>
          <w:rFonts w:hint="eastAsia" w:ascii="宋体" w:hAnsi="宋体" w:cs="宋体"/>
          <w:b/>
          <w:color w:val="auto"/>
          <w:szCs w:val="21"/>
          <w:highlight w:val="none"/>
        </w:rPr>
        <w:t>十二 .附则</w:t>
      </w:r>
      <w:bookmarkEnd w:id="158"/>
    </w:p>
    <w:p w14:paraId="3975DF7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22.合同份数。</w:t>
      </w:r>
    </w:p>
    <w:p w14:paraId="7A0BA0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本合同一式陆份，买卖双方各执二份，招标代理机构一份 。</w:t>
      </w:r>
    </w:p>
    <w:p w14:paraId="2B1BB29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23.未尽事宜</w:t>
      </w:r>
    </w:p>
    <w:p w14:paraId="609E411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本合同未尽事宜应按《中华人民共和国民法典》《中华人民共和国产品质量法》之规定解释。</w:t>
      </w:r>
    </w:p>
    <w:p w14:paraId="3232DB3B">
      <w:pPr>
        <w:pStyle w:val="3"/>
        <w:spacing w:before="162" w:beforeLines="50" w:after="162" w:afterLines="50" w:line="440" w:lineRule="exact"/>
        <w:rPr>
          <w:rFonts w:ascii="宋体" w:hAnsi="宋体" w:cs="宋体"/>
          <w:color w:val="auto"/>
          <w:sz w:val="32"/>
          <w:szCs w:val="32"/>
          <w:highlight w:val="none"/>
        </w:rPr>
      </w:pPr>
    </w:p>
    <w:p w14:paraId="641126CC">
      <w:pPr>
        <w:rPr>
          <w:rFonts w:ascii="宋体" w:hAnsi="宋体" w:cs="宋体"/>
          <w:b/>
          <w:color w:val="auto"/>
          <w:sz w:val="32"/>
          <w:szCs w:val="32"/>
          <w:highlight w:val="none"/>
        </w:rPr>
      </w:pPr>
    </w:p>
    <w:p w14:paraId="010A3B14">
      <w:pPr>
        <w:pStyle w:val="25"/>
        <w:ind w:firstLine="643"/>
        <w:rPr>
          <w:rFonts w:cs="宋体"/>
          <w:b/>
          <w:color w:val="auto"/>
          <w:sz w:val="32"/>
          <w:szCs w:val="32"/>
          <w:highlight w:val="none"/>
        </w:rPr>
      </w:pPr>
    </w:p>
    <w:p w14:paraId="00890F03">
      <w:pPr>
        <w:pStyle w:val="25"/>
        <w:ind w:firstLine="0" w:firstLineChars="0"/>
        <w:rPr>
          <w:color w:val="auto"/>
          <w:highlight w:val="none"/>
        </w:rPr>
      </w:pPr>
    </w:p>
    <w:p w14:paraId="2511A808">
      <w:pPr>
        <w:rPr>
          <w:color w:val="auto"/>
          <w:highlight w:val="none"/>
        </w:rPr>
      </w:pPr>
    </w:p>
    <w:p w14:paraId="3167F3E3">
      <w:pPr>
        <w:pStyle w:val="25"/>
        <w:ind w:firstLine="560"/>
        <w:rPr>
          <w:color w:val="auto"/>
          <w:highlight w:val="none"/>
        </w:rPr>
      </w:pPr>
    </w:p>
    <w:p w14:paraId="7C0426C3">
      <w:pPr>
        <w:rPr>
          <w:color w:val="auto"/>
          <w:highlight w:val="none"/>
        </w:rPr>
      </w:pPr>
    </w:p>
    <w:p w14:paraId="4650007C">
      <w:pPr>
        <w:pStyle w:val="25"/>
        <w:ind w:firstLine="560"/>
        <w:rPr>
          <w:color w:val="auto"/>
          <w:highlight w:val="none"/>
        </w:rPr>
      </w:pPr>
    </w:p>
    <w:p w14:paraId="062F7E06">
      <w:pPr>
        <w:rPr>
          <w:color w:val="auto"/>
          <w:highlight w:val="none"/>
        </w:rPr>
      </w:pPr>
    </w:p>
    <w:p w14:paraId="67027203">
      <w:pPr>
        <w:pStyle w:val="25"/>
        <w:ind w:firstLine="560"/>
        <w:rPr>
          <w:color w:val="auto"/>
          <w:highlight w:val="none"/>
        </w:rPr>
      </w:pPr>
    </w:p>
    <w:p w14:paraId="63DCC204">
      <w:pPr>
        <w:pStyle w:val="25"/>
        <w:ind w:firstLine="560"/>
        <w:rPr>
          <w:color w:val="auto"/>
          <w:highlight w:val="none"/>
        </w:rPr>
      </w:pPr>
    </w:p>
    <w:p w14:paraId="270C06FF">
      <w:pPr>
        <w:pStyle w:val="25"/>
        <w:ind w:firstLine="560"/>
        <w:rPr>
          <w:color w:val="auto"/>
          <w:highlight w:val="none"/>
        </w:rPr>
      </w:pPr>
    </w:p>
    <w:p w14:paraId="13751B90">
      <w:pPr>
        <w:pStyle w:val="25"/>
        <w:ind w:firstLine="560"/>
        <w:rPr>
          <w:color w:val="auto"/>
          <w:highlight w:val="none"/>
        </w:rPr>
      </w:pPr>
    </w:p>
    <w:p w14:paraId="0EAF1C43">
      <w:pPr>
        <w:pStyle w:val="25"/>
        <w:ind w:firstLine="560"/>
        <w:rPr>
          <w:color w:val="auto"/>
          <w:highlight w:val="none"/>
        </w:rPr>
      </w:pPr>
    </w:p>
    <w:p w14:paraId="6EDBEB9D">
      <w:pPr>
        <w:pStyle w:val="25"/>
        <w:ind w:firstLine="560"/>
        <w:rPr>
          <w:color w:val="auto"/>
          <w:highlight w:val="none"/>
        </w:rPr>
      </w:pPr>
    </w:p>
    <w:p w14:paraId="05EAC57F">
      <w:pPr>
        <w:pageBreakBefore/>
        <w:snapToGrid w:val="0"/>
        <w:spacing w:line="440" w:lineRule="exact"/>
        <w:jc w:val="center"/>
        <w:outlineLvl w:val="1"/>
        <w:rPr>
          <w:rFonts w:ascii="宋体" w:hAnsi="宋体" w:cs="宋体"/>
          <w:bCs/>
          <w:color w:val="auto"/>
          <w:sz w:val="24"/>
          <w:highlight w:val="none"/>
        </w:rPr>
      </w:pPr>
      <w:bookmarkStart w:id="159" w:name="_Toc13799"/>
      <w:r>
        <w:rPr>
          <w:rFonts w:hint="eastAsia" w:ascii="宋体" w:hAnsi="宋体" w:cs="宋体"/>
          <w:b/>
          <w:color w:val="auto"/>
          <w:sz w:val="32"/>
          <w:szCs w:val="32"/>
          <w:highlight w:val="none"/>
        </w:rPr>
        <w:t>第五章  投标文件标格式</w:t>
      </w:r>
      <w:bookmarkEnd w:id="159"/>
    </w:p>
    <w:p w14:paraId="1AA75C80">
      <w:pPr>
        <w:rPr>
          <w:rFonts w:eastAsia="黑体"/>
          <w:color w:val="auto"/>
          <w:sz w:val="20"/>
          <w:highlight w:val="none"/>
        </w:rPr>
      </w:pPr>
    </w:p>
    <w:p w14:paraId="2194594B">
      <w:pPr>
        <w:jc w:val="center"/>
        <w:rPr>
          <w:rFonts w:ascii="宋体"/>
          <w:b/>
          <w:color w:val="auto"/>
          <w:sz w:val="44"/>
          <w:szCs w:val="44"/>
          <w:highlight w:val="none"/>
        </w:rPr>
      </w:pPr>
      <w:bookmarkStart w:id="160" w:name="_Toc350698753"/>
      <w:bookmarkStart w:id="161" w:name="_Toc469495744"/>
      <w:r>
        <w:rPr>
          <w:rFonts w:hint="eastAsia" w:ascii="宋体"/>
          <w:b/>
          <w:color w:val="auto"/>
          <w:sz w:val="44"/>
          <w:szCs w:val="44"/>
          <w:highlight w:val="none"/>
        </w:rPr>
        <w:t xml:space="preserve">                               </w:t>
      </w:r>
      <w:r>
        <w:rPr>
          <w:rFonts w:hint="eastAsia" w:ascii="宋体"/>
          <w:b/>
          <w:color w:val="auto"/>
          <w:sz w:val="96"/>
          <w:szCs w:val="96"/>
          <w:highlight w:val="none"/>
        </w:rPr>
        <w:t xml:space="preserve"> </w:t>
      </w:r>
    </w:p>
    <w:p w14:paraId="53324DF7">
      <w:pPr>
        <w:pStyle w:val="25"/>
        <w:ind w:firstLine="560"/>
        <w:rPr>
          <w:color w:val="auto"/>
          <w:highlight w:val="none"/>
        </w:rPr>
      </w:pPr>
    </w:p>
    <w:p w14:paraId="4BE5CDA7">
      <w:pPr>
        <w:jc w:val="center"/>
        <w:outlineLvl w:val="2"/>
        <w:rPr>
          <w:rFonts w:ascii="宋体"/>
          <w:b/>
          <w:color w:val="auto"/>
          <w:sz w:val="44"/>
          <w:szCs w:val="44"/>
          <w:highlight w:val="none"/>
        </w:rPr>
      </w:pPr>
      <w:bookmarkStart w:id="162" w:name="_Toc1612"/>
      <w:r>
        <w:rPr>
          <w:rFonts w:hint="eastAsia" w:ascii="宋体"/>
          <w:b/>
          <w:color w:val="auto"/>
          <w:sz w:val="44"/>
          <w:szCs w:val="44"/>
          <w:highlight w:val="none"/>
        </w:rPr>
        <w:t>资信证明文件</w:t>
      </w:r>
      <w:bookmarkEnd w:id="160"/>
      <w:bookmarkEnd w:id="161"/>
      <w:bookmarkEnd w:id="162"/>
    </w:p>
    <w:p w14:paraId="4A0F601A">
      <w:pPr>
        <w:jc w:val="center"/>
        <w:rPr>
          <w:rFonts w:ascii="宋体"/>
          <w:color w:val="auto"/>
          <w:sz w:val="32"/>
          <w:szCs w:val="32"/>
          <w:highlight w:val="none"/>
        </w:rPr>
      </w:pPr>
      <w:r>
        <w:rPr>
          <w:rFonts w:hint="eastAsia" w:ascii="宋体"/>
          <w:color w:val="auto"/>
          <w:sz w:val="32"/>
          <w:szCs w:val="32"/>
          <w:highlight w:val="none"/>
        </w:rPr>
        <w:t>（投标文件一）</w:t>
      </w:r>
    </w:p>
    <w:p w14:paraId="4AE69684">
      <w:pPr>
        <w:jc w:val="center"/>
        <w:rPr>
          <w:rFonts w:eastAsia="黑体"/>
          <w:color w:val="auto"/>
          <w:sz w:val="44"/>
          <w:szCs w:val="44"/>
          <w:highlight w:val="none"/>
        </w:rPr>
      </w:pPr>
    </w:p>
    <w:p w14:paraId="0B293453">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p>
    <w:p w14:paraId="46C91CFC">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2C69B84E">
      <w:pPr>
        <w:rPr>
          <w:rFonts w:ascii="宋体"/>
          <w:color w:val="auto"/>
          <w:sz w:val="28"/>
          <w:szCs w:val="28"/>
          <w:highlight w:val="none"/>
        </w:rPr>
      </w:pPr>
    </w:p>
    <w:p w14:paraId="6ED04A1F">
      <w:pPr>
        <w:rPr>
          <w:rFonts w:ascii="宋体"/>
          <w:color w:val="auto"/>
          <w:sz w:val="28"/>
          <w:szCs w:val="28"/>
          <w:highlight w:val="none"/>
        </w:rPr>
      </w:pPr>
    </w:p>
    <w:p w14:paraId="47B87388">
      <w:pPr>
        <w:rPr>
          <w:rFonts w:ascii="宋体"/>
          <w:color w:val="auto"/>
          <w:sz w:val="28"/>
          <w:szCs w:val="28"/>
          <w:highlight w:val="none"/>
        </w:rPr>
      </w:pPr>
    </w:p>
    <w:p w14:paraId="0A351462">
      <w:pPr>
        <w:rPr>
          <w:rFonts w:ascii="宋体"/>
          <w:color w:val="auto"/>
          <w:sz w:val="28"/>
          <w:szCs w:val="28"/>
          <w:highlight w:val="none"/>
        </w:rPr>
      </w:pPr>
    </w:p>
    <w:p w14:paraId="315B9D43">
      <w:pPr>
        <w:pStyle w:val="25"/>
        <w:ind w:firstLine="0" w:firstLineChars="0"/>
        <w:rPr>
          <w:color w:val="auto"/>
          <w:highlight w:val="none"/>
        </w:rPr>
      </w:pPr>
    </w:p>
    <w:p w14:paraId="22ACECE2">
      <w:pPr>
        <w:rPr>
          <w:rFonts w:ascii="宋体"/>
          <w:color w:val="auto"/>
          <w:sz w:val="28"/>
          <w:szCs w:val="28"/>
          <w:highlight w:val="none"/>
        </w:rPr>
      </w:pPr>
    </w:p>
    <w:p w14:paraId="5F084FE6">
      <w:pPr>
        <w:rPr>
          <w:rFonts w:ascii="宋体"/>
          <w:color w:val="auto"/>
          <w:sz w:val="28"/>
          <w:szCs w:val="28"/>
          <w:highlight w:val="none"/>
        </w:rPr>
      </w:pPr>
    </w:p>
    <w:p w14:paraId="5CEE146D">
      <w:pPr>
        <w:pStyle w:val="2"/>
        <w:rPr>
          <w:color w:val="auto"/>
          <w:highlight w:val="none"/>
        </w:rPr>
      </w:pPr>
    </w:p>
    <w:p w14:paraId="34928CB0">
      <w:pPr>
        <w:rPr>
          <w:rFonts w:ascii="宋体"/>
          <w:color w:val="auto"/>
          <w:sz w:val="28"/>
          <w:szCs w:val="28"/>
          <w:highlight w:val="none"/>
        </w:rPr>
      </w:pPr>
    </w:p>
    <w:p w14:paraId="752C15C6">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374C44F7">
      <w:pPr>
        <w:jc w:val="center"/>
        <w:rPr>
          <w:rFonts w:ascii="宋体"/>
          <w:color w:val="auto"/>
          <w:sz w:val="28"/>
          <w:szCs w:val="28"/>
          <w:highlight w:val="none"/>
          <w:u w:val="singl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03FE9146">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817E03A">
      <w:pPr>
        <w:pStyle w:val="25"/>
        <w:ind w:firstLine="560"/>
        <w:rPr>
          <w:color w:val="auto"/>
          <w:szCs w:val="28"/>
          <w:highlight w:val="none"/>
        </w:rPr>
      </w:pPr>
    </w:p>
    <w:p w14:paraId="2701FAF2">
      <w:pPr>
        <w:rPr>
          <w:rFonts w:ascii="宋体"/>
          <w:color w:val="auto"/>
          <w:sz w:val="28"/>
          <w:szCs w:val="28"/>
          <w:highlight w:val="none"/>
        </w:rPr>
      </w:pPr>
    </w:p>
    <w:p w14:paraId="1204E2A5">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6077876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6492E58B">
      <w:pPr>
        <w:spacing w:line="440" w:lineRule="exact"/>
        <w:ind w:firstLine="420" w:firstLineChars="200"/>
        <w:outlineLvl w:val="2"/>
        <w:rPr>
          <w:rFonts w:ascii="宋体" w:hAnsi="宋体" w:cs="宋体"/>
          <w:color w:val="auto"/>
          <w:szCs w:val="21"/>
          <w:highlight w:val="none"/>
        </w:rPr>
      </w:pPr>
      <w:bookmarkStart w:id="163" w:name="_Toc31838"/>
      <w:r>
        <w:rPr>
          <w:rFonts w:hint="eastAsia" w:ascii="宋体" w:hAnsi="宋体" w:cs="宋体"/>
          <w:color w:val="auto"/>
          <w:szCs w:val="21"/>
          <w:highlight w:val="none"/>
        </w:rPr>
        <w:t>（2）具有承担民事责任的能力；</w:t>
      </w:r>
      <w:bookmarkEnd w:id="163"/>
    </w:p>
    <w:p w14:paraId="3B7F78B1">
      <w:pPr>
        <w:spacing w:line="440" w:lineRule="exact"/>
        <w:ind w:firstLine="420" w:firstLineChars="200"/>
        <w:outlineLvl w:val="2"/>
        <w:rPr>
          <w:rFonts w:ascii="宋体" w:hAnsi="宋体" w:cs="宋体"/>
          <w:color w:val="auto"/>
          <w:szCs w:val="21"/>
          <w:highlight w:val="none"/>
        </w:rPr>
      </w:pPr>
      <w:r>
        <w:rPr>
          <w:rFonts w:hint="eastAsia" w:ascii="宋体" w:hAnsi="宋体" w:cs="宋体"/>
          <w:color w:val="auto"/>
          <w:szCs w:val="21"/>
          <w:highlight w:val="none"/>
        </w:rPr>
        <w:t>（3）</w:t>
      </w:r>
      <w:bookmarkStart w:id="164" w:name="_Toc11671"/>
      <w:r>
        <w:rPr>
          <w:rFonts w:hint="eastAsia" w:ascii="宋体" w:hAnsi="宋体" w:cs="宋体"/>
          <w:color w:val="auto"/>
          <w:szCs w:val="21"/>
          <w:highlight w:val="none"/>
        </w:rPr>
        <w:t>诚信投标承诺书（格式见附件）；</w:t>
      </w:r>
      <w:bookmarkEnd w:id="164"/>
    </w:p>
    <w:p w14:paraId="2445EA0E">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资信标中要求提供的相关资料和资格评分细则中需要提供的相关资料；</w:t>
      </w:r>
    </w:p>
    <w:p w14:paraId="541D31B2">
      <w:pPr>
        <w:spacing w:line="440" w:lineRule="exact"/>
        <w:ind w:firstLine="422" w:firstLineChars="200"/>
        <w:rPr>
          <w:rFonts w:ascii="宋体" w:hAnsi="宋体" w:cs="宋体"/>
          <w:b/>
          <w:bCs/>
          <w:color w:val="auto"/>
          <w:szCs w:val="21"/>
          <w:highlight w:val="none"/>
        </w:rPr>
      </w:pPr>
    </w:p>
    <w:p w14:paraId="7F084E2E">
      <w:pPr>
        <w:pStyle w:val="25"/>
        <w:ind w:firstLine="560"/>
        <w:rPr>
          <w:color w:val="auto"/>
          <w:highlight w:val="none"/>
        </w:rPr>
      </w:pPr>
    </w:p>
    <w:p w14:paraId="7CAC36B7">
      <w:pPr>
        <w:rPr>
          <w:color w:val="auto"/>
          <w:highlight w:val="none"/>
        </w:rPr>
      </w:pPr>
    </w:p>
    <w:p w14:paraId="75BBFBFE">
      <w:pPr>
        <w:pStyle w:val="25"/>
        <w:ind w:firstLine="560"/>
        <w:rPr>
          <w:color w:val="auto"/>
          <w:highlight w:val="none"/>
        </w:rPr>
      </w:pPr>
    </w:p>
    <w:p w14:paraId="47BF46AB">
      <w:pPr>
        <w:rPr>
          <w:color w:val="auto"/>
          <w:highlight w:val="none"/>
        </w:rPr>
      </w:pPr>
    </w:p>
    <w:p w14:paraId="1006F0A8">
      <w:pPr>
        <w:pStyle w:val="25"/>
        <w:ind w:firstLine="560"/>
        <w:rPr>
          <w:color w:val="auto"/>
          <w:highlight w:val="none"/>
        </w:rPr>
      </w:pPr>
    </w:p>
    <w:p w14:paraId="754B0B09">
      <w:pPr>
        <w:rPr>
          <w:color w:val="auto"/>
          <w:highlight w:val="none"/>
        </w:rPr>
      </w:pPr>
    </w:p>
    <w:p w14:paraId="5AF34656">
      <w:pPr>
        <w:pStyle w:val="25"/>
        <w:ind w:firstLine="560"/>
        <w:rPr>
          <w:color w:val="auto"/>
          <w:highlight w:val="none"/>
        </w:rPr>
      </w:pPr>
    </w:p>
    <w:p w14:paraId="41DE4B00">
      <w:pPr>
        <w:rPr>
          <w:color w:val="auto"/>
          <w:highlight w:val="none"/>
        </w:rPr>
      </w:pPr>
    </w:p>
    <w:p w14:paraId="07F01F36">
      <w:pPr>
        <w:pStyle w:val="25"/>
        <w:ind w:firstLine="560"/>
        <w:rPr>
          <w:color w:val="auto"/>
          <w:highlight w:val="none"/>
        </w:rPr>
      </w:pPr>
    </w:p>
    <w:p w14:paraId="21EA16C9">
      <w:pPr>
        <w:rPr>
          <w:color w:val="auto"/>
          <w:highlight w:val="none"/>
        </w:rPr>
      </w:pPr>
    </w:p>
    <w:p w14:paraId="2C78F164">
      <w:pPr>
        <w:pStyle w:val="25"/>
        <w:ind w:firstLine="560"/>
        <w:rPr>
          <w:color w:val="auto"/>
          <w:highlight w:val="none"/>
        </w:rPr>
      </w:pPr>
    </w:p>
    <w:p w14:paraId="36D15109">
      <w:pPr>
        <w:rPr>
          <w:color w:val="auto"/>
          <w:highlight w:val="none"/>
        </w:rPr>
      </w:pPr>
    </w:p>
    <w:p w14:paraId="171E9998">
      <w:pPr>
        <w:pStyle w:val="25"/>
        <w:ind w:firstLine="560"/>
        <w:rPr>
          <w:color w:val="auto"/>
          <w:highlight w:val="none"/>
        </w:rPr>
      </w:pPr>
    </w:p>
    <w:p w14:paraId="0BF70F19">
      <w:pPr>
        <w:rPr>
          <w:color w:val="auto"/>
          <w:highlight w:val="none"/>
        </w:rPr>
      </w:pPr>
    </w:p>
    <w:p w14:paraId="200AF25F">
      <w:pPr>
        <w:pStyle w:val="25"/>
        <w:ind w:firstLine="560"/>
        <w:rPr>
          <w:color w:val="auto"/>
          <w:highlight w:val="none"/>
        </w:rPr>
      </w:pPr>
    </w:p>
    <w:p w14:paraId="5F00FA81">
      <w:pPr>
        <w:rPr>
          <w:color w:val="auto"/>
          <w:highlight w:val="none"/>
        </w:rPr>
      </w:pPr>
    </w:p>
    <w:p w14:paraId="43971874">
      <w:pPr>
        <w:pStyle w:val="25"/>
        <w:ind w:firstLine="560"/>
        <w:rPr>
          <w:color w:val="auto"/>
          <w:highlight w:val="none"/>
        </w:rPr>
      </w:pPr>
    </w:p>
    <w:p w14:paraId="16920212">
      <w:pPr>
        <w:rPr>
          <w:color w:val="auto"/>
          <w:highlight w:val="none"/>
        </w:rPr>
      </w:pPr>
    </w:p>
    <w:p w14:paraId="7A661D8A">
      <w:pPr>
        <w:pStyle w:val="25"/>
        <w:ind w:firstLine="0" w:firstLineChars="0"/>
        <w:rPr>
          <w:color w:val="auto"/>
          <w:highlight w:val="none"/>
        </w:rPr>
      </w:pPr>
    </w:p>
    <w:p w14:paraId="1C4D5F41">
      <w:pPr>
        <w:pStyle w:val="5"/>
        <w:jc w:val="center"/>
        <w:rPr>
          <w:rFonts w:hint="eastAsia" w:ascii="宋体" w:hAnsi="宋体" w:cs="宋体"/>
          <w:color w:val="auto"/>
          <w:sz w:val="28"/>
          <w:szCs w:val="28"/>
          <w:highlight w:val="none"/>
        </w:rPr>
      </w:pPr>
      <w:bookmarkStart w:id="165" w:name="_Toc17426"/>
    </w:p>
    <w:p w14:paraId="3A882F65">
      <w:pPr>
        <w:pStyle w:val="5"/>
        <w:jc w:val="center"/>
        <w:rPr>
          <w:rFonts w:ascii="宋体" w:hAnsi="宋体" w:cs="宋体"/>
          <w:color w:val="auto"/>
          <w:sz w:val="28"/>
          <w:szCs w:val="28"/>
          <w:highlight w:val="none"/>
        </w:rPr>
      </w:pPr>
      <w:r>
        <w:rPr>
          <w:rFonts w:hint="eastAsia" w:ascii="宋体" w:hAnsi="宋体" w:cs="宋体"/>
          <w:color w:val="auto"/>
          <w:sz w:val="28"/>
          <w:szCs w:val="28"/>
          <w:highlight w:val="none"/>
        </w:rPr>
        <w:t>（1）法定代表人身份证明</w:t>
      </w:r>
      <w:bookmarkEnd w:id="165"/>
    </w:p>
    <w:p w14:paraId="158EFDB3">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9A784DC">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AA0B4AE">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22403900">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4D77AE9">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2993022E">
      <w:pPr>
        <w:spacing w:line="440" w:lineRule="exac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07C767C5">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（投标供应商名称）的法定代表人。</w:t>
      </w:r>
    </w:p>
    <w:p w14:paraId="07E4A7D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6A08A512">
      <w:pPr>
        <w:spacing w:line="440" w:lineRule="exact"/>
        <w:rPr>
          <w:rFonts w:ascii="宋体" w:hAnsi="宋体" w:cs="宋体"/>
          <w:color w:val="auto"/>
          <w:szCs w:val="21"/>
          <w:highlight w:val="none"/>
        </w:rPr>
      </w:pPr>
      <w:r>
        <w:rPr>
          <w:rFonts w:hint="eastAsia" w:ascii="宋体" w:hAnsi="宋体" w:cs="宋体"/>
          <w:color w:val="auto"/>
          <w:szCs w:val="21"/>
          <w:highlight w:val="none"/>
        </w:rPr>
        <w:t>附：法定代表人有效身份证</w:t>
      </w:r>
    </w:p>
    <w:p w14:paraId="68B190EF">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投标供应商：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F120227">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70E9907F">
      <w:pPr>
        <w:spacing w:line="540" w:lineRule="exact"/>
        <w:rPr>
          <w:rFonts w:ascii="宋体" w:hAnsi="宋体" w:cs="宋体"/>
          <w:color w:val="auto"/>
          <w:highlight w:val="none"/>
        </w:rPr>
      </w:pPr>
    </w:p>
    <w:p w14:paraId="4B593B91">
      <w:pPr>
        <w:pStyle w:val="5"/>
        <w:jc w:val="center"/>
        <w:rPr>
          <w:rFonts w:ascii="宋体" w:hAnsi="宋体" w:cs="宋体"/>
          <w:color w:val="auto"/>
          <w:sz w:val="28"/>
          <w:szCs w:val="28"/>
          <w:highlight w:val="none"/>
        </w:rPr>
      </w:pPr>
      <w:r>
        <w:rPr>
          <w:rFonts w:hint="eastAsia" w:ascii="宋体" w:hAnsi="宋体" w:cs="宋体"/>
          <w:color w:val="auto"/>
          <w:sz w:val="28"/>
          <w:szCs w:val="28"/>
          <w:highlight w:val="none"/>
        </w:rPr>
        <w:t>或（1）授权委托书</w:t>
      </w:r>
    </w:p>
    <w:p w14:paraId="394F0504">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（投标供应商名称）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为我公司法定代表人授权委托代理人，参加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的投标活动。代理人在投标、开标、评标、合同谈判过程中所签署的一切文件和处理与之有关的一切事务，我均予以承认。</w:t>
      </w:r>
    </w:p>
    <w:p w14:paraId="27802E0A">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代理人无转委托权，特此委托。</w:t>
      </w:r>
    </w:p>
    <w:p w14:paraId="7B730953">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附：授权代理人有效身份证及法定代表人有效身份证          </w:t>
      </w:r>
    </w:p>
    <w:p w14:paraId="0739B13D">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4B511CD8">
      <w:pPr>
        <w:spacing w:line="500" w:lineRule="exact"/>
        <w:ind w:right="24" w:firstLine="4200" w:firstLineChars="2000"/>
        <w:rPr>
          <w:rFonts w:ascii="宋体" w:hAnsi="宋体" w:cs="宋体"/>
          <w:color w:val="auto"/>
          <w:szCs w:val="21"/>
          <w:highlight w:val="none"/>
        </w:rPr>
      </w:pPr>
      <w:r>
        <w:rPr>
          <w:rFonts w:hint="eastAsia" w:ascii="宋体" w:hAnsi="宋体" w:cs="宋体"/>
          <w:color w:val="auto"/>
          <w:szCs w:val="21"/>
          <w:highlight w:val="none"/>
        </w:rPr>
        <w:t xml:space="preserve">  授权代理人：</w:t>
      </w:r>
      <w:r>
        <w:rPr>
          <w:rFonts w:hint="eastAsia" w:ascii="宋体" w:hAnsi="宋体" w:cs="宋体"/>
          <w:color w:val="auto"/>
          <w:szCs w:val="21"/>
          <w:highlight w:val="none"/>
          <w:u w:val="single"/>
        </w:rPr>
        <w:t xml:space="preserve">        （签字或盖章）      </w:t>
      </w:r>
    </w:p>
    <w:p w14:paraId="01CC6057">
      <w:pPr>
        <w:spacing w:line="500" w:lineRule="exact"/>
        <w:ind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（盖章）         </w:t>
      </w:r>
    </w:p>
    <w:p w14:paraId="1898A33A">
      <w:pPr>
        <w:spacing w:line="500" w:lineRule="exact"/>
        <w:ind w:right="204"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（签字或盖章）      </w:t>
      </w:r>
    </w:p>
    <w:p w14:paraId="32BAB5B3">
      <w:pPr>
        <w:wordWrap w:val="0"/>
        <w:spacing w:line="50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年    月    日 </w:t>
      </w:r>
    </w:p>
    <w:p w14:paraId="3FD96566">
      <w:pPr>
        <w:rPr>
          <w:rFonts w:ascii="宋体" w:hAnsi="宋体" w:cs="宋体"/>
          <w:b/>
          <w:color w:val="auto"/>
          <w:sz w:val="24"/>
          <w:highlight w:val="none"/>
        </w:rPr>
      </w:pPr>
    </w:p>
    <w:p w14:paraId="1213DDF0">
      <w:pPr>
        <w:pStyle w:val="25"/>
        <w:ind w:firstLine="560"/>
        <w:rPr>
          <w:color w:val="auto"/>
          <w:highlight w:val="none"/>
        </w:rPr>
      </w:pPr>
    </w:p>
    <w:p w14:paraId="1F35F889">
      <w:pPr>
        <w:rPr>
          <w:rFonts w:ascii="宋体" w:hAnsi="宋体" w:cs="宋体"/>
          <w:b/>
          <w:bCs/>
          <w:color w:val="auto"/>
          <w:sz w:val="28"/>
          <w:szCs w:val="28"/>
          <w:highlight w:val="none"/>
        </w:rPr>
      </w:pPr>
    </w:p>
    <w:p w14:paraId="748C6A05">
      <w:pPr>
        <w:jc w:val="center"/>
        <w:outlineLvl w:val="2"/>
        <w:rPr>
          <w:rFonts w:ascii="宋体" w:hAnsi="宋体" w:cs="宋体"/>
          <w:b/>
          <w:bCs/>
          <w:color w:val="auto"/>
          <w:sz w:val="28"/>
          <w:szCs w:val="28"/>
          <w:highlight w:val="none"/>
        </w:rPr>
      </w:pPr>
      <w:bookmarkStart w:id="166" w:name="_Toc5345"/>
      <w:r>
        <w:rPr>
          <w:rFonts w:hint="eastAsia" w:ascii="宋体" w:hAnsi="宋体" w:cs="宋体"/>
          <w:b/>
          <w:bCs/>
          <w:color w:val="auto"/>
          <w:sz w:val="28"/>
          <w:szCs w:val="28"/>
          <w:highlight w:val="none"/>
        </w:rPr>
        <w:t>（2）诚信投标承诺书</w:t>
      </w:r>
      <w:bookmarkEnd w:id="166"/>
    </w:p>
    <w:p w14:paraId="49CC423E">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szCs w:val="21"/>
          <w:highlight w:val="none"/>
        </w:rPr>
      </w:pPr>
      <w:r>
        <w:rPr>
          <w:rFonts w:hint="eastAsia" w:ascii="宋体" w:hAnsi="宋体" w:cs="宋体"/>
          <w:color w:val="auto"/>
          <w:szCs w:val="21"/>
          <w:highlight w:val="none"/>
        </w:rPr>
        <w:t>本人以企业法定代表人的身份郑重承诺：</w:t>
      </w:r>
    </w:p>
    <w:p w14:paraId="3C162B4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一、将遵循公开、公正和诚实信用的原则自愿参加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项目的投标，所提供的一切材料都是真实、有效、合法的；</w:t>
      </w:r>
    </w:p>
    <w:p w14:paraId="3986113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674F321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三、不出借、转让资质证书，不让他人挂靠投标，不以他人名义投标或者以其他方式弄虚作假，骗取中标；</w:t>
      </w:r>
    </w:p>
    <w:p w14:paraId="64415E4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四、不与其他供应商相互串通投标报价，不排挤其他供应商的公平竞争、损害采购人的合法权益；</w:t>
      </w:r>
    </w:p>
    <w:p w14:paraId="3ACB371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五、不与采购人、招标代理机构或其他供应商串通投标，损害国家利益、社会公共利益或者他人的合法权益；</w:t>
      </w:r>
    </w:p>
    <w:p w14:paraId="210D510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六、我公司没有下列情形：</w:t>
      </w:r>
      <w:r>
        <w:rPr>
          <w:rFonts w:hint="eastAsia" w:ascii="宋体" w:hAnsi="宋体"/>
          <w:color w:val="auto"/>
          <w:szCs w:val="21"/>
          <w:highlight w:val="none"/>
        </w:rPr>
        <w:t>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r>
        <w:rPr>
          <w:rFonts w:hint="eastAsia" w:ascii="宋体" w:hAnsi="宋体" w:cs="宋体"/>
          <w:color w:val="auto"/>
          <w:szCs w:val="21"/>
          <w:highlight w:val="none"/>
        </w:rPr>
        <w:t xml:space="preserve"> </w:t>
      </w:r>
    </w:p>
    <w:p w14:paraId="16E9A9E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七、严格遵守开标现场纪律，服从监管人员管理；</w:t>
      </w:r>
    </w:p>
    <w:p w14:paraId="1D278CD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八、保证中标后不转包，若有分包征得采购人同意；</w:t>
      </w:r>
    </w:p>
    <w:p w14:paraId="1151BA2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九、保证中标之后，按照</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要求提供相关后续服务；</w:t>
      </w:r>
    </w:p>
    <w:p w14:paraId="075EC1D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十、保证企业及所属相关人员在本次投标中无行贿等犯罪行为；</w:t>
      </w:r>
    </w:p>
    <w:p w14:paraId="593FD30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08FF05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3162526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开户银行：                          基本账户：</w:t>
      </w:r>
    </w:p>
    <w:p w14:paraId="23FF75D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投标供应商（盖章）：                 法定代表人（签字或盖章）：</w:t>
      </w:r>
    </w:p>
    <w:p w14:paraId="1A59BC4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right"/>
        <w:textAlignment w:val="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F998E5A">
      <w:pPr>
        <w:jc w:val="center"/>
        <w:rPr>
          <w:rFonts w:ascii="宋体" w:hAnsi="宋体" w:cs="宋体"/>
          <w:b/>
          <w:color w:val="auto"/>
          <w:sz w:val="24"/>
          <w:highlight w:val="none"/>
        </w:rPr>
      </w:pPr>
    </w:p>
    <w:p w14:paraId="06B9A2EA">
      <w:pPr>
        <w:rPr>
          <w:rFonts w:hint="eastAsia" w:ascii="宋体"/>
          <w:b w:val="0"/>
          <w:color w:val="auto"/>
          <w:highlight w:val="none"/>
        </w:rPr>
      </w:pPr>
      <w:bookmarkStart w:id="167" w:name="_Toc10768"/>
      <w:bookmarkStart w:id="168" w:name="_Toc21013"/>
      <w:bookmarkStart w:id="169" w:name="_Toc28957"/>
      <w:r>
        <w:rPr>
          <w:rFonts w:hint="eastAsia" w:ascii="宋体"/>
          <w:b w:val="0"/>
          <w:color w:val="auto"/>
          <w:highlight w:val="none"/>
        </w:rPr>
        <w:br w:type="page"/>
      </w:r>
    </w:p>
    <w:p w14:paraId="0D5FB811">
      <w:pPr>
        <w:pStyle w:val="3"/>
        <w:jc w:val="center"/>
        <w:rPr>
          <w:rFonts w:ascii="宋体"/>
          <w:b w:val="0"/>
          <w:color w:val="auto"/>
          <w:highlight w:val="none"/>
        </w:rPr>
      </w:pPr>
      <w:r>
        <w:rPr>
          <w:rFonts w:hint="eastAsia" w:ascii="宋体"/>
          <w:b w:val="0"/>
          <w:color w:val="auto"/>
          <w:highlight w:val="none"/>
        </w:rPr>
        <w:t>技术标文件</w:t>
      </w:r>
      <w:bookmarkEnd w:id="167"/>
      <w:bookmarkEnd w:id="168"/>
      <w:bookmarkEnd w:id="169"/>
    </w:p>
    <w:p w14:paraId="2C251A33">
      <w:pPr>
        <w:jc w:val="center"/>
        <w:rPr>
          <w:rFonts w:ascii="宋体"/>
          <w:color w:val="auto"/>
          <w:sz w:val="32"/>
          <w:szCs w:val="32"/>
          <w:highlight w:val="none"/>
        </w:rPr>
      </w:pPr>
      <w:r>
        <w:rPr>
          <w:rFonts w:hint="eastAsia" w:ascii="宋体"/>
          <w:color w:val="auto"/>
          <w:sz w:val="32"/>
          <w:szCs w:val="32"/>
          <w:highlight w:val="none"/>
        </w:rPr>
        <w:t>（投标文件二）</w:t>
      </w:r>
    </w:p>
    <w:p w14:paraId="266AEEF2">
      <w:pPr>
        <w:jc w:val="center"/>
        <w:rPr>
          <w:rFonts w:eastAsia="黑体"/>
          <w:color w:val="auto"/>
          <w:sz w:val="44"/>
          <w:szCs w:val="44"/>
          <w:highlight w:val="none"/>
        </w:rPr>
      </w:pPr>
    </w:p>
    <w:p w14:paraId="6F5D7A46">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 xml:space="preserve">项目名称 </w:t>
      </w:r>
    </w:p>
    <w:p w14:paraId="7028D0C1">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68DD69BB">
      <w:pPr>
        <w:rPr>
          <w:rFonts w:ascii="宋体"/>
          <w:color w:val="auto"/>
          <w:sz w:val="28"/>
          <w:szCs w:val="28"/>
          <w:highlight w:val="none"/>
        </w:rPr>
      </w:pPr>
    </w:p>
    <w:p w14:paraId="112E2140">
      <w:pPr>
        <w:rPr>
          <w:rFonts w:ascii="宋体"/>
          <w:color w:val="auto"/>
          <w:sz w:val="28"/>
          <w:szCs w:val="28"/>
          <w:highlight w:val="none"/>
        </w:rPr>
      </w:pPr>
    </w:p>
    <w:p w14:paraId="31BE4075">
      <w:pPr>
        <w:rPr>
          <w:rFonts w:ascii="宋体"/>
          <w:color w:val="auto"/>
          <w:sz w:val="28"/>
          <w:szCs w:val="28"/>
          <w:highlight w:val="none"/>
        </w:rPr>
      </w:pPr>
    </w:p>
    <w:p w14:paraId="6ABBA8C9">
      <w:pPr>
        <w:rPr>
          <w:rFonts w:ascii="宋体"/>
          <w:color w:val="auto"/>
          <w:sz w:val="28"/>
          <w:szCs w:val="28"/>
          <w:highlight w:val="none"/>
        </w:rPr>
      </w:pPr>
    </w:p>
    <w:p w14:paraId="3C471085">
      <w:pPr>
        <w:pStyle w:val="25"/>
        <w:ind w:left="420" w:firstLine="560"/>
        <w:rPr>
          <w:color w:val="auto"/>
          <w:szCs w:val="28"/>
          <w:highlight w:val="none"/>
        </w:rPr>
      </w:pPr>
    </w:p>
    <w:p w14:paraId="0D518E91">
      <w:pPr>
        <w:rPr>
          <w:rFonts w:ascii="宋体"/>
          <w:color w:val="auto"/>
          <w:sz w:val="28"/>
          <w:szCs w:val="28"/>
          <w:highlight w:val="none"/>
        </w:rPr>
      </w:pPr>
    </w:p>
    <w:p w14:paraId="0CD718C3">
      <w:pPr>
        <w:pStyle w:val="25"/>
        <w:ind w:left="420" w:firstLine="560"/>
        <w:rPr>
          <w:color w:val="auto"/>
          <w:szCs w:val="28"/>
          <w:highlight w:val="none"/>
        </w:rPr>
      </w:pPr>
    </w:p>
    <w:p w14:paraId="32DD9A47">
      <w:pPr>
        <w:rPr>
          <w:rFonts w:ascii="宋体"/>
          <w:color w:val="auto"/>
          <w:sz w:val="28"/>
          <w:szCs w:val="28"/>
          <w:highlight w:val="none"/>
        </w:rPr>
      </w:pPr>
    </w:p>
    <w:p w14:paraId="7A745A6D">
      <w:pPr>
        <w:rPr>
          <w:rFonts w:ascii="宋体"/>
          <w:color w:val="auto"/>
          <w:sz w:val="28"/>
          <w:szCs w:val="28"/>
          <w:highlight w:val="none"/>
        </w:rPr>
      </w:pPr>
    </w:p>
    <w:p w14:paraId="5CBDF01F">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7DB1BE15">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26D63041">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205F493">
      <w:pPr>
        <w:spacing w:line="720" w:lineRule="auto"/>
        <w:jc w:val="center"/>
        <w:rPr>
          <w:rFonts w:ascii="宋体" w:hAnsi="宋体"/>
          <w:b/>
          <w:color w:val="auto"/>
          <w:sz w:val="36"/>
          <w:szCs w:val="36"/>
          <w:highlight w:val="none"/>
        </w:rPr>
      </w:pPr>
    </w:p>
    <w:p w14:paraId="39845F67">
      <w:pPr>
        <w:pStyle w:val="60"/>
        <w:rPr>
          <w:rFonts w:ascii="宋体" w:hAnsi="宋体"/>
          <w:b/>
          <w:color w:val="auto"/>
          <w:sz w:val="36"/>
          <w:szCs w:val="36"/>
          <w:highlight w:val="none"/>
        </w:rPr>
      </w:pPr>
    </w:p>
    <w:p w14:paraId="2A4F4C8E">
      <w:pPr>
        <w:rPr>
          <w:rFonts w:hint="eastAsia"/>
          <w:b/>
          <w:color w:val="auto"/>
          <w:sz w:val="44"/>
          <w:szCs w:val="44"/>
          <w:highlight w:val="none"/>
        </w:rPr>
      </w:pPr>
      <w:r>
        <w:rPr>
          <w:rFonts w:hint="eastAsia"/>
          <w:b/>
          <w:color w:val="auto"/>
          <w:sz w:val="44"/>
          <w:szCs w:val="44"/>
          <w:highlight w:val="none"/>
        </w:rPr>
        <w:br w:type="page"/>
      </w:r>
    </w:p>
    <w:p w14:paraId="264CCE82">
      <w:pPr>
        <w:spacing w:line="500" w:lineRule="exact"/>
        <w:jc w:val="center"/>
        <w:rPr>
          <w:b/>
          <w:color w:val="auto"/>
          <w:sz w:val="44"/>
          <w:szCs w:val="44"/>
          <w:highlight w:val="none"/>
        </w:rPr>
      </w:pPr>
      <w:r>
        <w:rPr>
          <w:rFonts w:hint="eastAsia"/>
          <w:b/>
          <w:color w:val="auto"/>
          <w:sz w:val="44"/>
          <w:szCs w:val="44"/>
          <w:highlight w:val="none"/>
        </w:rPr>
        <w:t>目   录</w:t>
      </w:r>
    </w:p>
    <w:p w14:paraId="6B9B24C5">
      <w:pPr>
        <w:spacing w:line="440" w:lineRule="exact"/>
        <w:ind w:left="-9" w:right="-199" w:rightChars="-95" w:firstLine="9"/>
        <w:rPr>
          <w:rFonts w:ascii="宋体" w:hAnsi="宋体" w:cs="宋体"/>
          <w:color w:val="auto"/>
          <w:szCs w:val="21"/>
          <w:highlight w:val="none"/>
        </w:rPr>
      </w:pPr>
    </w:p>
    <w:p w14:paraId="0D94A9EC">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15F0BDF0">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（2）供货安装方案；</w:t>
      </w:r>
    </w:p>
    <w:p w14:paraId="5435A18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eastAsia="宋体" w:cs="宋体"/>
          <w:bCs/>
          <w:color w:val="auto"/>
          <w:szCs w:val="21"/>
          <w:highlight w:val="none"/>
        </w:rPr>
        <w:t>售后服务</w:t>
      </w:r>
      <w:r>
        <w:rPr>
          <w:rFonts w:hint="eastAsia" w:ascii="宋体" w:hAnsi="宋体" w:cs="宋体"/>
          <w:bCs/>
          <w:color w:val="auto"/>
          <w:szCs w:val="21"/>
          <w:highlight w:val="none"/>
          <w:lang w:val="en-US" w:eastAsia="zh-CN"/>
        </w:rPr>
        <w:t>及维保</w:t>
      </w:r>
      <w:r>
        <w:rPr>
          <w:rFonts w:hint="eastAsia" w:ascii="宋体" w:hAnsi="宋体" w:eastAsia="宋体" w:cs="宋体"/>
          <w:bCs/>
          <w:color w:val="auto"/>
          <w:szCs w:val="21"/>
          <w:highlight w:val="none"/>
        </w:rPr>
        <w:t>方案；</w:t>
      </w:r>
    </w:p>
    <w:p w14:paraId="068F7F13">
      <w:pPr>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）培训方案</w:t>
      </w:r>
    </w:p>
    <w:p w14:paraId="70D5581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技术标中要求提供的相关资料和技术标评分细则中需要提供的相关资料；</w:t>
      </w:r>
    </w:p>
    <w:p w14:paraId="1BEFB5E4">
      <w:pPr>
        <w:spacing w:line="440" w:lineRule="exact"/>
        <w:jc w:val="left"/>
        <w:rPr>
          <w:rFonts w:ascii="宋体" w:hAnsi="宋体" w:cs="宋体"/>
          <w:b/>
          <w:color w:val="auto"/>
          <w:szCs w:val="21"/>
          <w:highlight w:val="none"/>
        </w:rPr>
      </w:pPr>
    </w:p>
    <w:p w14:paraId="5621AEE3">
      <w:pPr>
        <w:spacing w:line="440" w:lineRule="exact"/>
        <w:ind w:firstLine="420" w:firstLineChars="200"/>
        <w:jc w:val="left"/>
        <w:rPr>
          <w:rFonts w:ascii="宋体" w:hAnsi="宋体" w:cs="宋体"/>
          <w:bCs/>
          <w:color w:val="auto"/>
          <w:szCs w:val="21"/>
          <w:highlight w:val="none"/>
        </w:rPr>
      </w:pPr>
    </w:p>
    <w:p w14:paraId="653F2A1B">
      <w:pPr>
        <w:spacing w:line="440" w:lineRule="exact"/>
        <w:ind w:firstLine="420" w:firstLineChars="200"/>
        <w:jc w:val="left"/>
        <w:rPr>
          <w:rFonts w:ascii="宋体" w:hAnsi="宋体" w:cs="宋体"/>
          <w:bCs/>
          <w:color w:val="auto"/>
          <w:szCs w:val="21"/>
          <w:highlight w:val="none"/>
        </w:rPr>
      </w:pPr>
    </w:p>
    <w:p w14:paraId="433F4060">
      <w:pPr>
        <w:spacing w:line="440" w:lineRule="exact"/>
        <w:ind w:firstLine="420" w:firstLineChars="200"/>
        <w:jc w:val="left"/>
        <w:rPr>
          <w:rFonts w:ascii="宋体" w:hAnsi="宋体" w:cs="宋体"/>
          <w:bCs/>
          <w:color w:val="auto"/>
          <w:szCs w:val="21"/>
          <w:highlight w:val="none"/>
        </w:rPr>
      </w:pPr>
    </w:p>
    <w:p w14:paraId="6C95724C">
      <w:pPr>
        <w:rPr>
          <w:rFonts w:ascii="宋体" w:hAnsi="宋体"/>
          <w:b/>
          <w:color w:val="auto"/>
          <w:sz w:val="24"/>
          <w:highlight w:val="none"/>
        </w:rPr>
      </w:pPr>
    </w:p>
    <w:p w14:paraId="3C4EBC21">
      <w:pPr>
        <w:rPr>
          <w:rFonts w:ascii="宋体" w:hAnsi="宋体"/>
          <w:b/>
          <w:color w:val="auto"/>
          <w:sz w:val="24"/>
          <w:highlight w:val="none"/>
        </w:rPr>
      </w:pPr>
    </w:p>
    <w:p w14:paraId="339414D5">
      <w:pPr>
        <w:rPr>
          <w:rFonts w:ascii="宋体" w:hAnsi="宋体"/>
          <w:b/>
          <w:color w:val="auto"/>
          <w:sz w:val="24"/>
          <w:highlight w:val="none"/>
        </w:rPr>
      </w:pPr>
    </w:p>
    <w:p w14:paraId="52EFF6DC">
      <w:pPr>
        <w:pStyle w:val="25"/>
        <w:ind w:firstLine="482"/>
        <w:rPr>
          <w:rFonts w:hAnsi="宋体"/>
          <w:b/>
          <w:color w:val="auto"/>
          <w:sz w:val="24"/>
          <w:highlight w:val="none"/>
        </w:rPr>
      </w:pPr>
    </w:p>
    <w:p w14:paraId="5ADE3AB3">
      <w:pPr>
        <w:rPr>
          <w:rFonts w:ascii="宋体" w:hAnsi="宋体"/>
          <w:b/>
          <w:color w:val="auto"/>
          <w:sz w:val="24"/>
          <w:highlight w:val="none"/>
        </w:rPr>
      </w:pPr>
    </w:p>
    <w:p w14:paraId="1A7ECAA2">
      <w:pPr>
        <w:pStyle w:val="25"/>
        <w:ind w:firstLine="482"/>
        <w:rPr>
          <w:rFonts w:hAnsi="宋体"/>
          <w:b/>
          <w:color w:val="auto"/>
          <w:sz w:val="24"/>
          <w:highlight w:val="none"/>
        </w:rPr>
      </w:pPr>
    </w:p>
    <w:p w14:paraId="0D306805">
      <w:pPr>
        <w:rPr>
          <w:rFonts w:ascii="宋体" w:hAnsi="宋体"/>
          <w:b/>
          <w:color w:val="auto"/>
          <w:sz w:val="24"/>
          <w:highlight w:val="none"/>
        </w:rPr>
      </w:pPr>
    </w:p>
    <w:p w14:paraId="15134004">
      <w:pPr>
        <w:pStyle w:val="25"/>
        <w:ind w:firstLine="482"/>
        <w:rPr>
          <w:rFonts w:hAnsi="宋体"/>
          <w:b/>
          <w:color w:val="auto"/>
          <w:sz w:val="24"/>
          <w:highlight w:val="none"/>
        </w:rPr>
      </w:pPr>
    </w:p>
    <w:p w14:paraId="1E8B95C6">
      <w:pPr>
        <w:rPr>
          <w:rFonts w:ascii="宋体" w:hAnsi="宋体"/>
          <w:b/>
          <w:color w:val="auto"/>
          <w:sz w:val="24"/>
          <w:highlight w:val="none"/>
        </w:rPr>
      </w:pPr>
    </w:p>
    <w:p w14:paraId="6BFD88DF">
      <w:pPr>
        <w:pStyle w:val="25"/>
        <w:ind w:firstLine="482"/>
        <w:rPr>
          <w:rFonts w:hAnsi="宋体"/>
          <w:b/>
          <w:color w:val="auto"/>
          <w:sz w:val="24"/>
          <w:highlight w:val="none"/>
        </w:rPr>
      </w:pPr>
    </w:p>
    <w:p w14:paraId="7878B8D6">
      <w:pPr>
        <w:rPr>
          <w:rFonts w:ascii="宋体" w:hAnsi="宋体"/>
          <w:b/>
          <w:color w:val="auto"/>
          <w:sz w:val="24"/>
          <w:highlight w:val="none"/>
        </w:rPr>
      </w:pPr>
    </w:p>
    <w:p w14:paraId="4A57E440">
      <w:pPr>
        <w:pStyle w:val="25"/>
        <w:ind w:firstLine="482"/>
        <w:rPr>
          <w:rFonts w:hAnsi="宋体"/>
          <w:b/>
          <w:color w:val="auto"/>
          <w:sz w:val="24"/>
          <w:highlight w:val="none"/>
        </w:rPr>
      </w:pPr>
    </w:p>
    <w:p w14:paraId="28DC447E">
      <w:pPr>
        <w:rPr>
          <w:rFonts w:ascii="宋体" w:hAnsi="宋体"/>
          <w:b/>
          <w:color w:val="auto"/>
          <w:sz w:val="24"/>
          <w:highlight w:val="none"/>
        </w:rPr>
      </w:pPr>
    </w:p>
    <w:p w14:paraId="253C5610">
      <w:pPr>
        <w:pStyle w:val="25"/>
        <w:ind w:firstLine="482"/>
        <w:rPr>
          <w:rFonts w:hAnsi="宋体"/>
          <w:b/>
          <w:color w:val="auto"/>
          <w:sz w:val="24"/>
          <w:highlight w:val="none"/>
        </w:rPr>
      </w:pPr>
    </w:p>
    <w:p w14:paraId="16BE77CF">
      <w:pPr>
        <w:rPr>
          <w:rFonts w:ascii="宋体" w:hAnsi="宋体"/>
          <w:b/>
          <w:color w:val="auto"/>
          <w:sz w:val="24"/>
          <w:highlight w:val="none"/>
        </w:rPr>
      </w:pPr>
    </w:p>
    <w:p w14:paraId="24070B6E">
      <w:pPr>
        <w:pStyle w:val="25"/>
        <w:ind w:firstLine="482"/>
        <w:rPr>
          <w:rFonts w:hAnsi="宋体"/>
          <w:b/>
          <w:color w:val="auto"/>
          <w:sz w:val="24"/>
          <w:highlight w:val="none"/>
        </w:rPr>
      </w:pPr>
    </w:p>
    <w:p w14:paraId="3D4E3C86">
      <w:pPr>
        <w:rPr>
          <w:rFonts w:ascii="宋体" w:hAnsi="宋体"/>
          <w:b/>
          <w:color w:val="auto"/>
          <w:sz w:val="24"/>
          <w:highlight w:val="none"/>
        </w:rPr>
      </w:pPr>
    </w:p>
    <w:p w14:paraId="7D74B80B">
      <w:pPr>
        <w:rPr>
          <w:rFonts w:ascii="宋体" w:hAnsi="宋体"/>
          <w:b/>
          <w:color w:val="auto"/>
          <w:sz w:val="24"/>
          <w:highlight w:val="none"/>
        </w:rPr>
      </w:pPr>
    </w:p>
    <w:p w14:paraId="59A1B1D5">
      <w:pPr>
        <w:rPr>
          <w:rFonts w:ascii="宋体" w:hAnsi="宋体"/>
          <w:b/>
          <w:color w:val="auto"/>
          <w:sz w:val="24"/>
          <w:highlight w:val="none"/>
        </w:rPr>
      </w:pPr>
    </w:p>
    <w:p w14:paraId="371C94D4">
      <w:pPr>
        <w:rPr>
          <w:rFonts w:ascii="宋体" w:hAnsi="宋体"/>
          <w:b/>
          <w:color w:val="auto"/>
          <w:sz w:val="24"/>
          <w:highlight w:val="none"/>
        </w:rPr>
      </w:pPr>
    </w:p>
    <w:p w14:paraId="01C57643">
      <w:pPr>
        <w:rPr>
          <w:rFonts w:ascii="宋体" w:hAnsi="宋体"/>
          <w:b/>
          <w:color w:val="auto"/>
          <w:sz w:val="24"/>
          <w:highlight w:val="none"/>
        </w:rPr>
      </w:pPr>
    </w:p>
    <w:p w14:paraId="5EEEF0C3">
      <w:pPr>
        <w:jc w:val="center"/>
        <w:rPr>
          <w:rFonts w:hint="eastAsia" w:ascii="宋体" w:hAnsi="宋体"/>
          <w:b/>
          <w:color w:val="auto"/>
          <w:sz w:val="30"/>
          <w:szCs w:val="30"/>
          <w:highlight w:val="none"/>
        </w:rPr>
      </w:pPr>
    </w:p>
    <w:p w14:paraId="08E4E076">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0F5689FC">
      <w:pPr>
        <w:jc w:val="center"/>
        <w:rPr>
          <w:rFonts w:ascii="宋体" w:hAnsi="宋体"/>
          <w:b/>
          <w:color w:val="auto"/>
          <w:sz w:val="30"/>
          <w:szCs w:val="30"/>
          <w:highlight w:val="none"/>
        </w:rPr>
      </w:pPr>
      <w:r>
        <w:rPr>
          <w:rFonts w:hint="eastAsia" w:ascii="宋体" w:hAnsi="宋体"/>
          <w:b/>
          <w:color w:val="auto"/>
          <w:sz w:val="30"/>
          <w:szCs w:val="30"/>
          <w:highlight w:val="none"/>
        </w:rPr>
        <w:t>技术参数响应表（格式）</w:t>
      </w:r>
    </w:p>
    <w:p w14:paraId="05F85162">
      <w:pPr>
        <w:rPr>
          <w:rFonts w:ascii="宋体" w:hAnsi="宋体"/>
          <w:color w:val="auto"/>
          <w:sz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2085"/>
        <w:gridCol w:w="1625"/>
        <w:gridCol w:w="1187"/>
        <w:gridCol w:w="1736"/>
      </w:tblGrid>
      <w:tr w14:paraId="41AF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2256D600">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21" w:type="dxa"/>
            <w:vMerge w:val="restart"/>
            <w:vAlign w:val="center"/>
          </w:tcPr>
          <w:p w14:paraId="785C76B8">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3710" w:type="dxa"/>
            <w:gridSpan w:val="2"/>
            <w:vAlign w:val="center"/>
          </w:tcPr>
          <w:p w14:paraId="0E435DF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规格型号及参数</w:t>
            </w:r>
          </w:p>
        </w:tc>
        <w:tc>
          <w:tcPr>
            <w:tcW w:w="1187" w:type="dxa"/>
            <w:vMerge w:val="restart"/>
            <w:vAlign w:val="center"/>
          </w:tcPr>
          <w:p w14:paraId="4977AC0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736" w:type="dxa"/>
            <w:vMerge w:val="restart"/>
            <w:vAlign w:val="center"/>
          </w:tcPr>
          <w:p w14:paraId="0F0EB12E">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其他情况说明</w:t>
            </w:r>
          </w:p>
        </w:tc>
      </w:tr>
      <w:tr w14:paraId="6195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1528E667">
            <w:pPr>
              <w:spacing w:line="240" w:lineRule="atLeast"/>
              <w:ind w:firstLine="105" w:firstLineChars="50"/>
              <w:rPr>
                <w:rFonts w:ascii="宋体" w:hAnsi="宋体" w:cs="宋体"/>
                <w:color w:val="auto"/>
                <w:szCs w:val="21"/>
                <w:highlight w:val="none"/>
              </w:rPr>
            </w:pPr>
          </w:p>
        </w:tc>
        <w:tc>
          <w:tcPr>
            <w:tcW w:w="1421" w:type="dxa"/>
            <w:vMerge w:val="continue"/>
          </w:tcPr>
          <w:p w14:paraId="5D1BC7F8">
            <w:pPr>
              <w:spacing w:line="240" w:lineRule="atLeast"/>
              <w:jc w:val="center"/>
              <w:rPr>
                <w:rFonts w:ascii="宋体" w:hAnsi="宋体" w:cs="宋体"/>
                <w:color w:val="auto"/>
                <w:szCs w:val="21"/>
                <w:highlight w:val="none"/>
              </w:rPr>
            </w:pPr>
          </w:p>
        </w:tc>
        <w:tc>
          <w:tcPr>
            <w:tcW w:w="2085" w:type="dxa"/>
          </w:tcPr>
          <w:p w14:paraId="0DD36B09">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招标要求规格型号技术参数</w:t>
            </w:r>
          </w:p>
        </w:tc>
        <w:tc>
          <w:tcPr>
            <w:tcW w:w="1625" w:type="dxa"/>
          </w:tcPr>
          <w:p w14:paraId="02BDE80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投标规格型号技术参数</w:t>
            </w:r>
          </w:p>
        </w:tc>
        <w:tc>
          <w:tcPr>
            <w:tcW w:w="1187" w:type="dxa"/>
            <w:vMerge w:val="continue"/>
          </w:tcPr>
          <w:p w14:paraId="4A7A1686">
            <w:pPr>
              <w:spacing w:line="240" w:lineRule="atLeast"/>
              <w:jc w:val="center"/>
              <w:rPr>
                <w:rFonts w:ascii="宋体" w:hAnsi="宋体" w:cs="宋体"/>
                <w:color w:val="auto"/>
                <w:szCs w:val="21"/>
                <w:highlight w:val="none"/>
              </w:rPr>
            </w:pPr>
          </w:p>
        </w:tc>
        <w:tc>
          <w:tcPr>
            <w:tcW w:w="1736" w:type="dxa"/>
            <w:vMerge w:val="continue"/>
          </w:tcPr>
          <w:p w14:paraId="48BEFA4F">
            <w:pPr>
              <w:spacing w:line="240" w:lineRule="atLeast"/>
              <w:jc w:val="center"/>
              <w:rPr>
                <w:rFonts w:ascii="宋体" w:hAnsi="宋体" w:cs="宋体"/>
                <w:color w:val="auto"/>
                <w:szCs w:val="21"/>
                <w:highlight w:val="none"/>
              </w:rPr>
            </w:pPr>
          </w:p>
        </w:tc>
      </w:tr>
      <w:tr w14:paraId="217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EA4067B">
            <w:pPr>
              <w:jc w:val="center"/>
              <w:rPr>
                <w:rFonts w:ascii="宋体" w:hAnsi="宋体"/>
                <w:color w:val="auto"/>
                <w:szCs w:val="21"/>
                <w:highlight w:val="none"/>
              </w:rPr>
            </w:pPr>
            <w:r>
              <w:rPr>
                <w:rFonts w:hint="eastAsia" w:ascii="宋体" w:hAnsi="宋体"/>
                <w:color w:val="auto"/>
                <w:szCs w:val="21"/>
                <w:highlight w:val="none"/>
              </w:rPr>
              <w:t>1</w:t>
            </w:r>
          </w:p>
        </w:tc>
        <w:tc>
          <w:tcPr>
            <w:tcW w:w="1421" w:type="dxa"/>
            <w:shd w:val="clear" w:color="auto" w:fill="FFFFFF"/>
            <w:vAlign w:val="center"/>
          </w:tcPr>
          <w:p w14:paraId="359963F1">
            <w:pPr>
              <w:spacing w:line="360" w:lineRule="auto"/>
              <w:jc w:val="center"/>
              <w:textAlignment w:val="center"/>
              <w:rPr>
                <w:rFonts w:ascii="宋体" w:hAnsi="宋体"/>
                <w:color w:val="auto"/>
                <w:szCs w:val="21"/>
                <w:highlight w:val="none"/>
              </w:rPr>
            </w:pPr>
          </w:p>
        </w:tc>
        <w:tc>
          <w:tcPr>
            <w:tcW w:w="2085" w:type="dxa"/>
            <w:vAlign w:val="center"/>
          </w:tcPr>
          <w:p w14:paraId="589BE46C">
            <w:pPr>
              <w:ind w:firstLine="630" w:firstLineChars="300"/>
              <w:jc w:val="center"/>
              <w:rPr>
                <w:rFonts w:ascii="宋体" w:hAnsi="宋体"/>
                <w:color w:val="auto"/>
                <w:szCs w:val="21"/>
                <w:highlight w:val="none"/>
              </w:rPr>
            </w:pPr>
          </w:p>
        </w:tc>
        <w:tc>
          <w:tcPr>
            <w:tcW w:w="1625" w:type="dxa"/>
            <w:vAlign w:val="center"/>
          </w:tcPr>
          <w:p w14:paraId="6F96F533">
            <w:pPr>
              <w:ind w:firstLine="630" w:firstLineChars="300"/>
              <w:jc w:val="center"/>
              <w:rPr>
                <w:rFonts w:ascii="宋体" w:hAnsi="宋体"/>
                <w:color w:val="auto"/>
                <w:szCs w:val="21"/>
                <w:highlight w:val="none"/>
              </w:rPr>
            </w:pPr>
          </w:p>
        </w:tc>
        <w:tc>
          <w:tcPr>
            <w:tcW w:w="1187" w:type="dxa"/>
            <w:vAlign w:val="center"/>
          </w:tcPr>
          <w:p w14:paraId="0D4989EF">
            <w:pPr>
              <w:jc w:val="center"/>
              <w:rPr>
                <w:rFonts w:ascii="宋体" w:hAnsi="宋体"/>
                <w:color w:val="auto"/>
                <w:szCs w:val="21"/>
                <w:highlight w:val="none"/>
              </w:rPr>
            </w:pPr>
            <w:r>
              <w:rPr>
                <w:rFonts w:hint="eastAsia" w:ascii="宋体" w:hAnsi="宋体" w:cs="宋体"/>
                <w:color w:val="auto"/>
                <w:szCs w:val="21"/>
                <w:highlight w:val="none"/>
              </w:rPr>
              <w:t>是/否</w:t>
            </w:r>
          </w:p>
        </w:tc>
        <w:tc>
          <w:tcPr>
            <w:tcW w:w="1736" w:type="dxa"/>
            <w:vAlign w:val="center"/>
          </w:tcPr>
          <w:p w14:paraId="593D5896">
            <w:pPr>
              <w:jc w:val="center"/>
              <w:rPr>
                <w:rFonts w:ascii="宋体" w:hAnsi="宋体"/>
                <w:color w:val="auto"/>
                <w:szCs w:val="21"/>
                <w:highlight w:val="none"/>
              </w:rPr>
            </w:pPr>
          </w:p>
        </w:tc>
      </w:tr>
      <w:tr w14:paraId="58C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7A05507">
            <w:pPr>
              <w:jc w:val="center"/>
              <w:rPr>
                <w:rFonts w:ascii="宋体" w:hAnsi="宋体"/>
                <w:color w:val="auto"/>
                <w:szCs w:val="21"/>
                <w:highlight w:val="none"/>
              </w:rPr>
            </w:pPr>
            <w:r>
              <w:rPr>
                <w:rFonts w:hint="eastAsia" w:ascii="宋体" w:hAnsi="宋体"/>
                <w:color w:val="auto"/>
                <w:szCs w:val="21"/>
                <w:highlight w:val="none"/>
              </w:rPr>
              <w:t>2</w:t>
            </w:r>
          </w:p>
        </w:tc>
        <w:tc>
          <w:tcPr>
            <w:tcW w:w="1421" w:type="dxa"/>
            <w:shd w:val="clear" w:color="auto" w:fill="FFFFFF"/>
            <w:vAlign w:val="center"/>
          </w:tcPr>
          <w:p w14:paraId="1CEABB79">
            <w:pPr>
              <w:spacing w:line="360" w:lineRule="auto"/>
              <w:jc w:val="center"/>
              <w:textAlignment w:val="center"/>
              <w:rPr>
                <w:rFonts w:ascii="宋体" w:hAnsi="宋体"/>
                <w:color w:val="auto"/>
                <w:sz w:val="24"/>
                <w:highlight w:val="none"/>
              </w:rPr>
            </w:pPr>
          </w:p>
        </w:tc>
        <w:tc>
          <w:tcPr>
            <w:tcW w:w="2085" w:type="dxa"/>
            <w:vAlign w:val="center"/>
          </w:tcPr>
          <w:p w14:paraId="7426C0D5">
            <w:pPr>
              <w:ind w:firstLine="630" w:firstLineChars="300"/>
              <w:jc w:val="center"/>
              <w:rPr>
                <w:rFonts w:ascii="宋体" w:hAnsi="宋体"/>
                <w:color w:val="auto"/>
                <w:szCs w:val="21"/>
                <w:highlight w:val="none"/>
              </w:rPr>
            </w:pPr>
          </w:p>
        </w:tc>
        <w:tc>
          <w:tcPr>
            <w:tcW w:w="1625" w:type="dxa"/>
            <w:vAlign w:val="center"/>
          </w:tcPr>
          <w:p w14:paraId="0DC0AE35">
            <w:pPr>
              <w:ind w:firstLine="630" w:firstLineChars="300"/>
              <w:jc w:val="center"/>
              <w:rPr>
                <w:rFonts w:ascii="宋体" w:hAnsi="宋体"/>
                <w:color w:val="auto"/>
                <w:szCs w:val="21"/>
                <w:highlight w:val="none"/>
              </w:rPr>
            </w:pPr>
          </w:p>
        </w:tc>
        <w:tc>
          <w:tcPr>
            <w:tcW w:w="1187" w:type="dxa"/>
            <w:vAlign w:val="center"/>
          </w:tcPr>
          <w:p w14:paraId="33E7E06D">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61997FC6">
            <w:pPr>
              <w:jc w:val="center"/>
              <w:rPr>
                <w:rFonts w:ascii="宋体" w:hAnsi="宋体"/>
                <w:color w:val="auto"/>
                <w:szCs w:val="21"/>
                <w:highlight w:val="none"/>
              </w:rPr>
            </w:pPr>
          </w:p>
        </w:tc>
      </w:tr>
      <w:tr w14:paraId="7155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035F68AB">
            <w:pPr>
              <w:jc w:val="center"/>
              <w:rPr>
                <w:rFonts w:ascii="宋体" w:hAnsi="宋体"/>
                <w:color w:val="auto"/>
                <w:szCs w:val="21"/>
                <w:highlight w:val="none"/>
              </w:rPr>
            </w:pPr>
            <w:r>
              <w:rPr>
                <w:rFonts w:hint="eastAsia" w:ascii="宋体" w:hAnsi="宋体"/>
                <w:color w:val="auto"/>
                <w:szCs w:val="21"/>
                <w:highlight w:val="none"/>
              </w:rPr>
              <w:t>3</w:t>
            </w:r>
          </w:p>
        </w:tc>
        <w:tc>
          <w:tcPr>
            <w:tcW w:w="1421" w:type="dxa"/>
            <w:shd w:val="clear" w:color="auto" w:fill="FFFFFF"/>
            <w:vAlign w:val="center"/>
          </w:tcPr>
          <w:p w14:paraId="7E3F0E68">
            <w:pPr>
              <w:spacing w:line="360" w:lineRule="auto"/>
              <w:jc w:val="center"/>
              <w:textAlignment w:val="center"/>
              <w:rPr>
                <w:rFonts w:ascii="宋体" w:hAnsi="宋体"/>
                <w:color w:val="auto"/>
                <w:sz w:val="24"/>
                <w:highlight w:val="none"/>
              </w:rPr>
            </w:pPr>
          </w:p>
        </w:tc>
        <w:tc>
          <w:tcPr>
            <w:tcW w:w="2085" w:type="dxa"/>
            <w:vAlign w:val="center"/>
          </w:tcPr>
          <w:p w14:paraId="5418A504">
            <w:pPr>
              <w:ind w:firstLine="630" w:firstLineChars="300"/>
              <w:jc w:val="center"/>
              <w:rPr>
                <w:rFonts w:ascii="宋体" w:hAnsi="宋体"/>
                <w:color w:val="auto"/>
                <w:szCs w:val="21"/>
                <w:highlight w:val="none"/>
              </w:rPr>
            </w:pPr>
          </w:p>
        </w:tc>
        <w:tc>
          <w:tcPr>
            <w:tcW w:w="1625" w:type="dxa"/>
            <w:vAlign w:val="center"/>
          </w:tcPr>
          <w:p w14:paraId="507F6065">
            <w:pPr>
              <w:ind w:firstLine="630" w:firstLineChars="300"/>
              <w:jc w:val="center"/>
              <w:rPr>
                <w:rFonts w:ascii="宋体" w:hAnsi="宋体"/>
                <w:color w:val="auto"/>
                <w:szCs w:val="21"/>
                <w:highlight w:val="none"/>
              </w:rPr>
            </w:pPr>
          </w:p>
        </w:tc>
        <w:tc>
          <w:tcPr>
            <w:tcW w:w="1187" w:type="dxa"/>
            <w:vAlign w:val="center"/>
          </w:tcPr>
          <w:p w14:paraId="41A1E9A5">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7B8D2871">
            <w:pPr>
              <w:jc w:val="center"/>
              <w:rPr>
                <w:rFonts w:ascii="宋体" w:hAnsi="宋体"/>
                <w:color w:val="auto"/>
                <w:szCs w:val="21"/>
                <w:highlight w:val="none"/>
              </w:rPr>
            </w:pPr>
          </w:p>
        </w:tc>
      </w:tr>
      <w:tr w14:paraId="5283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77E39DBD">
            <w:pPr>
              <w:jc w:val="center"/>
              <w:rPr>
                <w:rFonts w:ascii="宋体" w:hAnsi="宋体"/>
                <w:color w:val="auto"/>
                <w:szCs w:val="21"/>
                <w:highlight w:val="none"/>
              </w:rPr>
            </w:pPr>
            <w:r>
              <w:rPr>
                <w:rFonts w:ascii="宋体" w:hAnsi="宋体"/>
                <w:color w:val="auto"/>
                <w:szCs w:val="21"/>
                <w:highlight w:val="none"/>
              </w:rPr>
              <w:t>…</w:t>
            </w:r>
          </w:p>
        </w:tc>
        <w:tc>
          <w:tcPr>
            <w:tcW w:w="1421" w:type="dxa"/>
            <w:shd w:val="clear" w:color="auto" w:fill="FFFFFF"/>
            <w:vAlign w:val="center"/>
          </w:tcPr>
          <w:p w14:paraId="72274B60">
            <w:pPr>
              <w:spacing w:line="360" w:lineRule="auto"/>
              <w:jc w:val="center"/>
              <w:textAlignment w:val="center"/>
              <w:rPr>
                <w:rFonts w:ascii="宋体" w:hAnsi="宋体"/>
                <w:color w:val="auto"/>
                <w:sz w:val="24"/>
                <w:highlight w:val="none"/>
              </w:rPr>
            </w:pPr>
          </w:p>
        </w:tc>
        <w:tc>
          <w:tcPr>
            <w:tcW w:w="2085" w:type="dxa"/>
            <w:vAlign w:val="center"/>
          </w:tcPr>
          <w:p w14:paraId="68839B7B">
            <w:pPr>
              <w:ind w:firstLine="630" w:firstLineChars="300"/>
              <w:jc w:val="center"/>
              <w:rPr>
                <w:rFonts w:ascii="宋体" w:hAnsi="宋体"/>
                <w:color w:val="auto"/>
                <w:szCs w:val="21"/>
                <w:highlight w:val="none"/>
              </w:rPr>
            </w:pPr>
          </w:p>
        </w:tc>
        <w:tc>
          <w:tcPr>
            <w:tcW w:w="1625" w:type="dxa"/>
            <w:vAlign w:val="center"/>
          </w:tcPr>
          <w:p w14:paraId="1BF0B665">
            <w:pPr>
              <w:ind w:firstLine="630" w:firstLineChars="300"/>
              <w:jc w:val="center"/>
              <w:rPr>
                <w:rFonts w:ascii="宋体" w:hAnsi="宋体"/>
                <w:color w:val="auto"/>
                <w:szCs w:val="21"/>
                <w:highlight w:val="none"/>
              </w:rPr>
            </w:pPr>
          </w:p>
        </w:tc>
        <w:tc>
          <w:tcPr>
            <w:tcW w:w="1187" w:type="dxa"/>
            <w:vAlign w:val="center"/>
          </w:tcPr>
          <w:p w14:paraId="7C920C11">
            <w:pPr>
              <w:jc w:val="center"/>
              <w:rPr>
                <w:rFonts w:ascii="宋体" w:hAnsi="宋体" w:cs="宋体"/>
                <w:color w:val="auto"/>
                <w:szCs w:val="21"/>
                <w:highlight w:val="none"/>
              </w:rPr>
            </w:pPr>
            <w:r>
              <w:rPr>
                <w:rFonts w:ascii="宋体" w:hAnsi="宋体" w:cs="宋体"/>
                <w:color w:val="auto"/>
                <w:szCs w:val="21"/>
                <w:highlight w:val="none"/>
              </w:rPr>
              <w:t>…</w:t>
            </w:r>
          </w:p>
        </w:tc>
        <w:tc>
          <w:tcPr>
            <w:tcW w:w="1736" w:type="dxa"/>
            <w:vAlign w:val="center"/>
          </w:tcPr>
          <w:p w14:paraId="09E5DE0B">
            <w:pPr>
              <w:jc w:val="center"/>
              <w:rPr>
                <w:rFonts w:ascii="宋体" w:hAnsi="宋体"/>
                <w:color w:val="auto"/>
                <w:szCs w:val="21"/>
                <w:highlight w:val="none"/>
              </w:rPr>
            </w:pPr>
          </w:p>
        </w:tc>
      </w:tr>
    </w:tbl>
    <w:p w14:paraId="2B5468FF">
      <w:pPr>
        <w:autoSpaceDE w:val="0"/>
        <w:autoSpaceDN w:val="0"/>
        <w:adjustRightInd w:val="0"/>
        <w:ind w:firstLine="632" w:firstLineChars="300"/>
        <w:rPr>
          <w:rFonts w:ascii="宋体" w:hAnsi="宋体"/>
          <w:b/>
          <w:color w:val="auto"/>
          <w:szCs w:val="21"/>
          <w:highlight w:val="none"/>
          <w:lang w:val="zh-CN"/>
        </w:rPr>
      </w:pPr>
    </w:p>
    <w:p w14:paraId="604CBB67">
      <w:pPr>
        <w:spacing w:line="480" w:lineRule="auto"/>
        <w:ind w:firstLine="480" w:firstLineChars="200"/>
        <w:rPr>
          <w:rFonts w:ascii="宋体" w:hAnsi="宋体"/>
          <w:color w:val="auto"/>
          <w:sz w:val="24"/>
          <w:highlight w:val="none"/>
        </w:rPr>
      </w:pPr>
    </w:p>
    <w:p w14:paraId="7ABE442B">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704A1915">
      <w:pPr>
        <w:spacing w:line="48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日 期： 年  月  日</w:t>
      </w:r>
    </w:p>
    <w:p w14:paraId="65B13762">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货物的详细配置清单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6865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vAlign w:val="center"/>
          </w:tcPr>
          <w:p w14:paraId="5AA69513">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436" w:type="dxa"/>
            <w:vAlign w:val="center"/>
          </w:tcPr>
          <w:p w14:paraId="43B1D803">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2154" w:type="dxa"/>
            <w:vAlign w:val="center"/>
          </w:tcPr>
          <w:p w14:paraId="18B8CA54">
            <w:pPr>
              <w:spacing w:line="360" w:lineRule="auto"/>
              <w:jc w:val="center"/>
              <w:rPr>
                <w:rFonts w:ascii="宋体" w:hAnsi="宋体"/>
                <w:color w:val="auto"/>
                <w:szCs w:val="21"/>
                <w:highlight w:val="none"/>
              </w:rPr>
            </w:pPr>
            <w:r>
              <w:rPr>
                <w:rFonts w:hint="eastAsia" w:ascii="宋体" w:hAnsi="宋体"/>
                <w:color w:val="auto"/>
                <w:szCs w:val="21"/>
                <w:highlight w:val="none"/>
              </w:rPr>
              <w:t>品牌、规格型号</w:t>
            </w:r>
          </w:p>
        </w:tc>
        <w:tc>
          <w:tcPr>
            <w:tcW w:w="1171" w:type="dxa"/>
            <w:vAlign w:val="center"/>
          </w:tcPr>
          <w:p w14:paraId="0436A6D3">
            <w:pPr>
              <w:spacing w:line="360" w:lineRule="auto"/>
              <w:jc w:val="center"/>
              <w:rPr>
                <w:rFonts w:ascii="宋体" w:hAnsi="宋体"/>
                <w:color w:val="auto"/>
                <w:szCs w:val="21"/>
                <w:highlight w:val="none"/>
              </w:rPr>
            </w:pPr>
            <w:r>
              <w:rPr>
                <w:rFonts w:hint="eastAsia" w:ascii="宋体" w:hAnsi="宋体"/>
                <w:color w:val="auto"/>
                <w:szCs w:val="21"/>
                <w:highlight w:val="none"/>
              </w:rPr>
              <w:t>产地</w:t>
            </w:r>
          </w:p>
        </w:tc>
        <w:tc>
          <w:tcPr>
            <w:tcW w:w="2180" w:type="dxa"/>
            <w:vAlign w:val="center"/>
          </w:tcPr>
          <w:p w14:paraId="3FAAA9DE">
            <w:pPr>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1532" w:type="dxa"/>
            <w:vAlign w:val="center"/>
          </w:tcPr>
          <w:p w14:paraId="114392DA">
            <w:pPr>
              <w:spacing w:line="360" w:lineRule="auto"/>
              <w:jc w:val="center"/>
              <w:rPr>
                <w:rFonts w:ascii="宋体" w:hAnsi="宋体"/>
                <w:color w:val="auto"/>
                <w:szCs w:val="21"/>
                <w:highlight w:val="none"/>
              </w:rPr>
            </w:pPr>
            <w:r>
              <w:rPr>
                <w:rFonts w:hint="eastAsia" w:ascii="宋体" w:hAnsi="宋体"/>
                <w:color w:val="auto"/>
                <w:szCs w:val="21"/>
                <w:highlight w:val="none"/>
              </w:rPr>
              <w:t>详细配置清单</w:t>
            </w:r>
          </w:p>
        </w:tc>
      </w:tr>
      <w:tr w14:paraId="1C4B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58FDE9B">
            <w:pPr>
              <w:numPr>
                <w:ilvl w:val="0"/>
                <w:numId w:val="14"/>
              </w:numPr>
              <w:spacing w:line="360" w:lineRule="auto"/>
              <w:ind w:left="0" w:firstLine="0"/>
              <w:rPr>
                <w:rFonts w:ascii="宋体" w:hAnsi="宋体"/>
                <w:color w:val="auto"/>
                <w:szCs w:val="21"/>
                <w:highlight w:val="none"/>
              </w:rPr>
            </w:pPr>
          </w:p>
        </w:tc>
        <w:tc>
          <w:tcPr>
            <w:tcW w:w="1436" w:type="dxa"/>
            <w:shd w:val="clear" w:color="auto" w:fill="FFFFFF"/>
            <w:vAlign w:val="center"/>
          </w:tcPr>
          <w:p w14:paraId="4B5BAE9C">
            <w:pPr>
              <w:spacing w:line="360" w:lineRule="auto"/>
              <w:jc w:val="center"/>
              <w:textAlignment w:val="center"/>
              <w:rPr>
                <w:rFonts w:ascii="宋体" w:hAnsi="宋体"/>
                <w:color w:val="auto"/>
                <w:szCs w:val="21"/>
                <w:highlight w:val="none"/>
              </w:rPr>
            </w:pPr>
          </w:p>
        </w:tc>
        <w:tc>
          <w:tcPr>
            <w:tcW w:w="2154" w:type="dxa"/>
          </w:tcPr>
          <w:p w14:paraId="17466965">
            <w:pPr>
              <w:spacing w:line="360" w:lineRule="auto"/>
              <w:rPr>
                <w:rFonts w:ascii="宋体" w:hAnsi="宋体"/>
                <w:color w:val="auto"/>
                <w:szCs w:val="21"/>
                <w:highlight w:val="none"/>
              </w:rPr>
            </w:pPr>
          </w:p>
        </w:tc>
        <w:tc>
          <w:tcPr>
            <w:tcW w:w="1171" w:type="dxa"/>
          </w:tcPr>
          <w:p w14:paraId="03460F8D">
            <w:pPr>
              <w:spacing w:line="360" w:lineRule="auto"/>
              <w:rPr>
                <w:rFonts w:ascii="宋体" w:hAnsi="宋体"/>
                <w:color w:val="auto"/>
                <w:szCs w:val="21"/>
                <w:highlight w:val="none"/>
              </w:rPr>
            </w:pPr>
          </w:p>
        </w:tc>
        <w:tc>
          <w:tcPr>
            <w:tcW w:w="2180" w:type="dxa"/>
          </w:tcPr>
          <w:p w14:paraId="31CF4F1E">
            <w:pPr>
              <w:spacing w:line="360" w:lineRule="auto"/>
              <w:rPr>
                <w:rFonts w:ascii="宋体" w:hAnsi="宋体"/>
                <w:color w:val="auto"/>
                <w:szCs w:val="21"/>
                <w:highlight w:val="none"/>
              </w:rPr>
            </w:pPr>
          </w:p>
        </w:tc>
        <w:tc>
          <w:tcPr>
            <w:tcW w:w="1532" w:type="dxa"/>
          </w:tcPr>
          <w:p w14:paraId="791B02E5">
            <w:pPr>
              <w:spacing w:line="360" w:lineRule="auto"/>
              <w:rPr>
                <w:rFonts w:ascii="宋体" w:hAnsi="宋体"/>
                <w:color w:val="auto"/>
                <w:szCs w:val="21"/>
                <w:highlight w:val="none"/>
              </w:rPr>
            </w:pPr>
          </w:p>
        </w:tc>
      </w:tr>
      <w:tr w14:paraId="25B8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05BBF68C">
            <w:pPr>
              <w:numPr>
                <w:ilvl w:val="0"/>
                <w:numId w:val="14"/>
              </w:numPr>
              <w:spacing w:line="360" w:lineRule="auto"/>
              <w:ind w:left="0" w:firstLine="0"/>
              <w:rPr>
                <w:rFonts w:ascii="宋体" w:hAnsi="宋体"/>
                <w:color w:val="auto"/>
                <w:szCs w:val="21"/>
                <w:highlight w:val="none"/>
              </w:rPr>
            </w:pPr>
          </w:p>
        </w:tc>
        <w:tc>
          <w:tcPr>
            <w:tcW w:w="1436" w:type="dxa"/>
            <w:shd w:val="clear" w:color="auto" w:fill="FFFFFF"/>
            <w:vAlign w:val="center"/>
          </w:tcPr>
          <w:p w14:paraId="16EE02AC">
            <w:pPr>
              <w:spacing w:line="360" w:lineRule="auto"/>
              <w:jc w:val="center"/>
              <w:textAlignment w:val="center"/>
              <w:rPr>
                <w:rFonts w:ascii="宋体" w:hAnsi="宋体"/>
                <w:color w:val="auto"/>
                <w:szCs w:val="21"/>
                <w:highlight w:val="none"/>
              </w:rPr>
            </w:pPr>
          </w:p>
        </w:tc>
        <w:tc>
          <w:tcPr>
            <w:tcW w:w="2154" w:type="dxa"/>
          </w:tcPr>
          <w:p w14:paraId="43E94199">
            <w:pPr>
              <w:spacing w:line="360" w:lineRule="auto"/>
              <w:rPr>
                <w:rFonts w:ascii="宋体" w:hAnsi="宋体"/>
                <w:color w:val="auto"/>
                <w:szCs w:val="21"/>
                <w:highlight w:val="none"/>
              </w:rPr>
            </w:pPr>
          </w:p>
        </w:tc>
        <w:tc>
          <w:tcPr>
            <w:tcW w:w="1171" w:type="dxa"/>
          </w:tcPr>
          <w:p w14:paraId="66865E80">
            <w:pPr>
              <w:spacing w:line="360" w:lineRule="auto"/>
              <w:rPr>
                <w:rFonts w:ascii="宋体" w:hAnsi="宋体"/>
                <w:color w:val="auto"/>
                <w:szCs w:val="21"/>
                <w:highlight w:val="none"/>
              </w:rPr>
            </w:pPr>
          </w:p>
        </w:tc>
        <w:tc>
          <w:tcPr>
            <w:tcW w:w="2180" w:type="dxa"/>
          </w:tcPr>
          <w:p w14:paraId="4BE43F1F">
            <w:pPr>
              <w:spacing w:line="360" w:lineRule="auto"/>
              <w:rPr>
                <w:rFonts w:ascii="宋体" w:hAnsi="宋体"/>
                <w:color w:val="auto"/>
                <w:szCs w:val="21"/>
                <w:highlight w:val="none"/>
              </w:rPr>
            </w:pPr>
          </w:p>
        </w:tc>
        <w:tc>
          <w:tcPr>
            <w:tcW w:w="1532" w:type="dxa"/>
          </w:tcPr>
          <w:p w14:paraId="0E567450">
            <w:pPr>
              <w:spacing w:line="360" w:lineRule="auto"/>
              <w:rPr>
                <w:rFonts w:ascii="宋体" w:hAnsi="宋体"/>
                <w:color w:val="auto"/>
                <w:szCs w:val="21"/>
                <w:highlight w:val="none"/>
              </w:rPr>
            </w:pPr>
          </w:p>
        </w:tc>
      </w:tr>
      <w:tr w14:paraId="365C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3E5148B8">
            <w:pPr>
              <w:numPr>
                <w:ilvl w:val="0"/>
                <w:numId w:val="14"/>
              </w:numPr>
              <w:spacing w:line="360" w:lineRule="auto"/>
              <w:ind w:left="0" w:firstLine="0"/>
              <w:rPr>
                <w:rFonts w:ascii="宋体" w:hAnsi="宋体"/>
                <w:color w:val="auto"/>
                <w:szCs w:val="21"/>
                <w:highlight w:val="none"/>
              </w:rPr>
            </w:pPr>
          </w:p>
        </w:tc>
        <w:tc>
          <w:tcPr>
            <w:tcW w:w="1436" w:type="dxa"/>
            <w:shd w:val="clear" w:color="auto" w:fill="FFFFFF"/>
            <w:vAlign w:val="center"/>
          </w:tcPr>
          <w:p w14:paraId="4F5F9761">
            <w:pPr>
              <w:spacing w:line="360" w:lineRule="auto"/>
              <w:jc w:val="center"/>
              <w:textAlignment w:val="center"/>
              <w:rPr>
                <w:rFonts w:ascii="宋体" w:hAnsi="宋体"/>
                <w:color w:val="auto"/>
                <w:szCs w:val="21"/>
                <w:highlight w:val="none"/>
              </w:rPr>
            </w:pPr>
          </w:p>
        </w:tc>
        <w:tc>
          <w:tcPr>
            <w:tcW w:w="2154" w:type="dxa"/>
          </w:tcPr>
          <w:p w14:paraId="213F4A98">
            <w:pPr>
              <w:spacing w:line="360" w:lineRule="auto"/>
              <w:rPr>
                <w:rFonts w:ascii="宋体" w:hAnsi="宋体"/>
                <w:color w:val="auto"/>
                <w:szCs w:val="21"/>
                <w:highlight w:val="none"/>
              </w:rPr>
            </w:pPr>
          </w:p>
        </w:tc>
        <w:tc>
          <w:tcPr>
            <w:tcW w:w="1171" w:type="dxa"/>
          </w:tcPr>
          <w:p w14:paraId="141D6158">
            <w:pPr>
              <w:spacing w:line="360" w:lineRule="auto"/>
              <w:rPr>
                <w:rFonts w:ascii="宋体" w:hAnsi="宋体"/>
                <w:color w:val="auto"/>
                <w:szCs w:val="21"/>
                <w:highlight w:val="none"/>
              </w:rPr>
            </w:pPr>
          </w:p>
        </w:tc>
        <w:tc>
          <w:tcPr>
            <w:tcW w:w="2180" w:type="dxa"/>
          </w:tcPr>
          <w:p w14:paraId="462C2251">
            <w:pPr>
              <w:spacing w:line="360" w:lineRule="auto"/>
              <w:rPr>
                <w:rFonts w:ascii="宋体" w:hAnsi="宋体"/>
                <w:color w:val="auto"/>
                <w:szCs w:val="21"/>
                <w:highlight w:val="none"/>
              </w:rPr>
            </w:pPr>
          </w:p>
        </w:tc>
        <w:tc>
          <w:tcPr>
            <w:tcW w:w="1532" w:type="dxa"/>
          </w:tcPr>
          <w:p w14:paraId="262D63DB">
            <w:pPr>
              <w:spacing w:line="360" w:lineRule="auto"/>
              <w:rPr>
                <w:rFonts w:ascii="宋体" w:hAnsi="宋体"/>
                <w:color w:val="auto"/>
                <w:szCs w:val="21"/>
                <w:highlight w:val="none"/>
              </w:rPr>
            </w:pPr>
          </w:p>
        </w:tc>
      </w:tr>
      <w:tr w14:paraId="41CA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6CCC2E6">
            <w:pPr>
              <w:spacing w:line="360" w:lineRule="auto"/>
              <w:rPr>
                <w:rFonts w:ascii="宋体" w:hAnsi="宋体"/>
                <w:color w:val="auto"/>
                <w:szCs w:val="21"/>
                <w:highlight w:val="none"/>
              </w:rPr>
            </w:pPr>
            <w:r>
              <w:rPr>
                <w:rFonts w:ascii="宋体" w:hAnsi="宋体"/>
                <w:color w:val="auto"/>
                <w:szCs w:val="21"/>
                <w:highlight w:val="none"/>
              </w:rPr>
              <w:t>…</w:t>
            </w:r>
          </w:p>
        </w:tc>
        <w:tc>
          <w:tcPr>
            <w:tcW w:w="1436" w:type="dxa"/>
            <w:shd w:val="clear" w:color="auto" w:fill="FFFFFF"/>
            <w:vAlign w:val="center"/>
          </w:tcPr>
          <w:p w14:paraId="485DB1FE">
            <w:pPr>
              <w:spacing w:line="360" w:lineRule="auto"/>
              <w:jc w:val="center"/>
              <w:textAlignment w:val="center"/>
              <w:rPr>
                <w:rFonts w:ascii="宋体" w:hAnsi="宋体"/>
                <w:color w:val="auto"/>
                <w:szCs w:val="21"/>
                <w:highlight w:val="none"/>
              </w:rPr>
            </w:pPr>
          </w:p>
        </w:tc>
        <w:tc>
          <w:tcPr>
            <w:tcW w:w="2154" w:type="dxa"/>
          </w:tcPr>
          <w:p w14:paraId="4D823F34">
            <w:pPr>
              <w:spacing w:line="360" w:lineRule="auto"/>
              <w:rPr>
                <w:rFonts w:ascii="宋体" w:hAnsi="宋体"/>
                <w:color w:val="auto"/>
                <w:szCs w:val="21"/>
                <w:highlight w:val="none"/>
              </w:rPr>
            </w:pPr>
          </w:p>
        </w:tc>
        <w:tc>
          <w:tcPr>
            <w:tcW w:w="1171" w:type="dxa"/>
          </w:tcPr>
          <w:p w14:paraId="18BF973E">
            <w:pPr>
              <w:spacing w:line="360" w:lineRule="auto"/>
              <w:rPr>
                <w:rFonts w:ascii="宋体" w:hAnsi="宋体"/>
                <w:color w:val="auto"/>
                <w:szCs w:val="21"/>
                <w:highlight w:val="none"/>
              </w:rPr>
            </w:pPr>
          </w:p>
        </w:tc>
        <w:tc>
          <w:tcPr>
            <w:tcW w:w="2180" w:type="dxa"/>
          </w:tcPr>
          <w:p w14:paraId="0919E7D7">
            <w:pPr>
              <w:spacing w:line="360" w:lineRule="auto"/>
              <w:rPr>
                <w:rFonts w:ascii="宋体" w:hAnsi="宋体"/>
                <w:color w:val="auto"/>
                <w:szCs w:val="21"/>
                <w:highlight w:val="none"/>
              </w:rPr>
            </w:pPr>
          </w:p>
        </w:tc>
        <w:tc>
          <w:tcPr>
            <w:tcW w:w="1532" w:type="dxa"/>
          </w:tcPr>
          <w:p w14:paraId="41DFCD11">
            <w:pPr>
              <w:spacing w:line="360" w:lineRule="auto"/>
              <w:rPr>
                <w:rFonts w:ascii="宋体" w:hAnsi="宋体"/>
                <w:color w:val="auto"/>
                <w:szCs w:val="21"/>
                <w:highlight w:val="none"/>
              </w:rPr>
            </w:pPr>
          </w:p>
        </w:tc>
      </w:tr>
    </w:tbl>
    <w:p w14:paraId="1D3C80C0">
      <w:pPr>
        <w:spacing w:line="480" w:lineRule="auto"/>
        <w:rPr>
          <w:rFonts w:ascii="宋体" w:hAnsi="宋体"/>
          <w:color w:val="auto"/>
          <w:sz w:val="24"/>
          <w:highlight w:val="none"/>
        </w:rPr>
      </w:pPr>
    </w:p>
    <w:p w14:paraId="35240AC3">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42BD997B">
      <w:pPr>
        <w:spacing w:line="480" w:lineRule="auto"/>
        <w:ind w:firstLine="480" w:firstLineChars="200"/>
        <w:jc w:val="right"/>
        <w:rPr>
          <w:rFonts w:ascii="宋体" w:hAnsi="宋体"/>
          <w:b/>
          <w:color w:val="auto"/>
          <w:sz w:val="30"/>
          <w:szCs w:val="30"/>
          <w:highlight w:val="none"/>
        </w:rPr>
      </w:pPr>
      <w:r>
        <w:rPr>
          <w:rFonts w:hint="eastAsia" w:ascii="宋体" w:hAnsi="宋体"/>
          <w:color w:val="auto"/>
          <w:sz w:val="24"/>
          <w:highlight w:val="none"/>
        </w:rPr>
        <w:t xml:space="preserve"> 日 期： 年  月  日</w:t>
      </w:r>
    </w:p>
    <w:p w14:paraId="7EB5D7D3">
      <w:pPr>
        <w:pStyle w:val="25"/>
        <w:ind w:firstLine="0" w:firstLineChars="0"/>
        <w:rPr>
          <w:rFonts w:hAnsi="宋体"/>
          <w:b/>
          <w:color w:val="auto"/>
          <w:sz w:val="24"/>
          <w:highlight w:val="none"/>
        </w:rPr>
      </w:pPr>
    </w:p>
    <w:p w14:paraId="2125B92F">
      <w:pPr>
        <w:pStyle w:val="20"/>
        <w:ind w:left="482" w:hanging="482"/>
        <w:rPr>
          <w:rFonts w:hAnsi="宋体"/>
          <w:b/>
          <w:color w:val="auto"/>
          <w:sz w:val="24"/>
          <w:highlight w:val="none"/>
        </w:rPr>
      </w:pPr>
    </w:p>
    <w:p w14:paraId="3F3DF98B">
      <w:pPr>
        <w:rPr>
          <w:rFonts w:hAnsi="宋体"/>
          <w:b/>
          <w:color w:val="auto"/>
          <w:sz w:val="24"/>
          <w:highlight w:val="none"/>
        </w:rPr>
      </w:pPr>
    </w:p>
    <w:p w14:paraId="479B2F8C">
      <w:pPr>
        <w:pStyle w:val="9"/>
        <w:rPr>
          <w:color w:val="auto"/>
          <w:highlight w:val="none"/>
        </w:rPr>
      </w:pPr>
    </w:p>
    <w:p w14:paraId="277BF6D6">
      <w:pPr>
        <w:widowControl/>
        <w:spacing w:line="357" w:lineRule="atLeast"/>
        <w:jc w:val="center"/>
        <w:textAlignment w:val="baseline"/>
        <w:rPr>
          <w:rFonts w:ascii="宋体" w:hAnsi="宋体" w:cs="宋体"/>
          <w:b/>
          <w:color w:val="auto"/>
          <w:kern w:val="0"/>
          <w:sz w:val="30"/>
          <w:szCs w:val="30"/>
          <w:highlight w:val="none"/>
          <w:u w:color="000000"/>
        </w:rPr>
      </w:pPr>
      <w:r>
        <w:rPr>
          <w:rFonts w:hint="eastAsia" w:ascii="宋体" w:hAnsi="宋体" w:cs="宋体"/>
          <w:b/>
          <w:color w:val="auto"/>
          <w:kern w:val="0"/>
          <w:sz w:val="30"/>
          <w:szCs w:val="30"/>
          <w:highlight w:val="none"/>
          <w:u w:color="000000"/>
        </w:rPr>
        <w:t>服务承诺书</w:t>
      </w:r>
    </w:p>
    <w:p w14:paraId="59B93593">
      <w:pPr>
        <w:rPr>
          <w:rFonts w:hAnsi="宋体"/>
          <w:b/>
          <w:color w:val="auto"/>
          <w:sz w:val="24"/>
          <w:highlight w:val="none"/>
        </w:rPr>
      </w:pPr>
    </w:p>
    <w:p w14:paraId="31492D55">
      <w:pPr>
        <w:rPr>
          <w:rFonts w:hAnsi="宋体"/>
          <w:b/>
          <w:color w:val="auto"/>
          <w:sz w:val="24"/>
          <w:highlight w:val="none"/>
        </w:rPr>
      </w:pPr>
    </w:p>
    <w:p w14:paraId="5F5CE30E">
      <w:pPr>
        <w:widowControl/>
        <w:spacing w:line="357" w:lineRule="atLeast"/>
        <w:ind w:firstLine="480" w:firstLineChars="200"/>
        <w:textAlignment w:val="baseline"/>
        <w:rPr>
          <w:rFonts w:ascii="宋体" w:hAnsi="宋体" w:cs="宋体"/>
          <w:color w:val="auto"/>
          <w:kern w:val="0"/>
          <w:sz w:val="24"/>
          <w:highlight w:val="none"/>
          <w:u w:color="000000"/>
        </w:rPr>
      </w:pPr>
    </w:p>
    <w:p w14:paraId="097F6D60">
      <w:pPr>
        <w:widowControl/>
        <w:spacing w:line="357" w:lineRule="atLeast"/>
        <w:textAlignment w:val="baseline"/>
        <w:rPr>
          <w:rFonts w:ascii="宋体" w:hAnsi="宋体" w:cs="宋体"/>
          <w:b/>
          <w:color w:val="auto"/>
          <w:kern w:val="0"/>
          <w:sz w:val="24"/>
          <w:highlight w:val="none"/>
          <w:u w:color="000000"/>
        </w:rPr>
      </w:pPr>
      <w:r>
        <w:rPr>
          <w:rFonts w:hint="eastAsia" w:ascii="宋体" w:hAnsi="宋体" w:cs="宋体"/>
          <w:color w:val="auto"/>
          <w:kern w:val="0"/>
          <w:sz w:val="24"/>
          <w:highlight w:val="none"/>
          <w:u w:color="000000"/>
        </w:rPr>
        <w:t>致：</w:t>
      </w:r>
      <w:r>
        <w:rPr>
          <w:rFonts w:hint="eastAsia" w:ascii="宋体" w:hAnsi="宋体" w:cs="宋体"/>
          <w:color w:val="auto"/>
          <w:kern w:val="0"/>
          <w:sz w:val="24"/>
          <w:highlight w:val="none"/>
          <w:u w:val="single" w:color="000000"/>
        </w:rPr>
        <w:t xml:space="preserve">          （采购人）     ：</w:t>
      </w:r>
    </w:p>
    <w:p w14:paraId="7893B4D1">
      <w:pPr>
        <w:widowControl/>
        <w:spacing w:line="800" w:lineRule="exact"/>
        <w:ind w:firstLine="480" w:firstLineChars="200"/>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本承诺声明：</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u w:color="000000"/>
        </w:rPr>
        <w:t>（供应商名称）对本招标文件的相关要求</w:t>
      </w:r>
      <w:r>
        <w:rPr>
          <w:rFonts w:hint="eastAsia" w:ascii="宋体" w:hAnsi="宋体" w:cs="宋体"/>
          <w:color w:val="auto"/>
          <w:kern w:val="0"/>
          <w:sz w:val="24"/>
          <w:highlight w:val="none"/>
          <w:u w:val="single"/>
        </w:rPr>
        <w:t xml:space="preserve">       （完全响应或优于）</w:t>
      </w:r>
      <w:r>
        <w:rPr>
          <w:rFonts w:hint="eastAsia" w:ascii="宋体" w:hAnsi="宋体" w:cs="宋体"/>
          <w:color w:val="auto"/>
          <w:kern w:val="0"/>
          <w:sz w:val="24"/>
          <w:highlight w:val="none"/>
          <w:u w:color="000000"/>
        </w:rPr>
        <w:t>。若有幸中标将严格按照承诺进行服务。</w:t>
      </w:r>
    </w:p>
    <w:p w14:paraId="558CB7ED">
      <w:pPr>
        <w:widowControl/>
        <w:spacing w:line="480" w:lineRule="auto"/>
        <w:textAlignment w:val="baseline"/>
        <w:rPr>
          <w:rFonts w:ascii="宋体" w:hAnsi="宋体" w:cs="宋体"/>
          <w:color w:val="auto"/>
          <w:kern w:val="0"/>
          <w:sz w:val="24"/>
          <w:highlight w:val="none"/>
          <w:u w:color="000000"/>
        </w:rPr>
      </w:pPr>
    </w:p>
    <w:p w14:paraId="1278DEA2">
      <w:pPr>
        <w:widowControl/>
        <w:spacing w:line="480" w:lineRule="auto"/>
        <w:textAlignment w:val="baseline"/>
        <w:rPr>
          <w:rFonts w:ascii="宋体" w:hAnsi="宋体" w:cs="宋体"/>
          <w:color w:val="auto"/>
          <w:kern w:val="0"/>
          <w:sz w:val="24"/>
          <w:highlight w:val="none"/>
          <w:u w:color="000000"/>
        </w:rPr>
      </w:pPr>
    </w:p>
    <w:p w14:paraId="4201B708">
      <w:pPr>
        <w:widowControl/>
        <w:spacing w:line="44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特此声明</w:t>
      </w:r>
    </w:p>
    <w:p w14:paraId="56D78100">
      <w:pPr>
        <w:widowControl/>
        <w:spacing w:line="6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w:t>
      </w:r>
    </w:p>
    <w:p w14:paraId="247CC7B3">
      <w:pPr>
        <w:widowControl/>
        <w:spacing w:line="600" w:lineRule="exact"/>
        <w:textAlignment w:val="baseline"/>
        <w:rPr>
          <w:rFonts w:ascii="宋体" w:hAnsi="宋体" w:cs="宋体"/>
          <w:color w:val="auto"/>
          <w:kern w:val="0"/>
          <w:sz w:val="24"/>
          <w:highlight w:val="none"/>
          <w:u w:color="000000"/>
        </w:rPr>
      </w:pPr>
    </w:p>
    <w:p w14:paraId="6205EAAD">
      <w:pPr>
        <w:widowControl/>
        <w:spacing w:line="600" w:lineRule="exact"/>
        <w:textAlignment w:val="baseline"/>
        <w:rPr>
          <w:rFonts w:ascii="宋体" w:hAnsi="宋体" w:cs="宋体"/>
          <w:color w:val="auto"/>
          <w:kern w:val="0"/>
          <w:sz w:val="24"/>
          <w:highlight w:val="none"/>
          <w:u w:color="000000"/>
        </w:rPr>
      </w:pPr>
    </w:p>
    <w:p w14:paraId="1808E816">
      <w:pPr>
        <w:widowControl/>
        <w:spacing w:line="600" w:lineRule="exact"/>
        <w:textAlignment w:val="baseline"/>
        <w:rPr>
          <w:rFonts w:ascii="宋体" w:hAnsi="宋体" w:cs="宋体"/>
          <w:color w:val="auto"/>
          <w:kern w:val="0"/>
          <w:sz w:val="24"/>
          <w:highlight w:val="none"/>
          <w:u w:color="000000"/>
        </w:rPr>
      </w:pPr>
    </w:p>
    <w:p w14:paraId="28BC436C">
      <w:pPr>
        <w:widowControl/>
        <w:spacing w:line="600" w:lineRule="exact"/>
        <w:textAlignment w:val="baseline"/>
        <w:rPr>
          <w:rFonts w:ascii="宋体" w:hAnsi="宋体" w:cs="宋体"/>
          <w:color w:val="auto"/>
          <w:kern w:val="0"/>
          <w:sz w:val="24"/>
          <w:highlight w:val="none"/>
          <w:u w:color="000000"/>
        </w:rPr>
      </w:pPr>
    </w:p>
    <w:p w14:paraId="59735F3F">
      <w:pPr>
        <w:widowControl/>
        <w:spacing w:line="600" w:lineRule="exact"/>
        <w:textAlignment w:val="baseline"/>
        <w:rPr>
          <w:rFonts w:ascii="宋体" w:hAnsi="宋体" w:cs="宋体"/>
          <w:color w:val="auto"/>
          <w:kern w:val="0"/>
          <w:sz w:val="24"/>
          <w:highlight w:val="none"/>
          <w:u w:color="000000"/>
        </w:rPr>
      </w:pPr>
    </w:p>
    <w:p w14:paraId="3A19EBFF">
      <w:pPr>
        <w:widowControl/>
        <w:spacing w:line="300" w:lineRule="exact"/>
        <w:jc w:val="righ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法定代表人：</w:t>
      </w:r>
      <w:r>
        <w:rPr>
          <w:rFonts w:hint="eastAsia" w:ascii="宋体" w:hAnsi="宋体" w:cs="宋体"/>
          <w:color w:val="auto"/>
          <w:kern w:val="0"/>
          <w:sz w:val="24"/>
          <w:highlight w:val="none"/>
          <w:u w:val="single" w:color="000000"/>
        </w:rPr>
        <w:t xml:space="preserve">                （签字或盖章）          </w:t>
      </w:r>
    </w:p>
    <w:p w14:paraId="0F7F75FF">
      <w:pPr>
        <w:widowControl/>
        <w:spacing w:line="300" w:lineRule="exact"/>
        <w:textAlignment w:val="baseline"/>
        <w:rPr>
          <w:rFonts w:ascii="宋体" w:hAnsi="宋体" w:cs="宋体"/>
          <w:color w:val="auto"/>
          <w:kern w:val="0"/>
          <w:sz w:val="24"/>
          <w:highlight w:val="none"/>
          <w:u w:color="000000"/>
        </w:rPr>
      </w:pPr>
    </w:p>
    <w:p w14:paraId="27DE81BE">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w:t>
      </w:r>
    </w:p>
    <w:p w14:paraId="1E242227">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供应商名称：</w:t>
      </w:r>
      <w:r>
        <w:rPr>
          <w:rFonts w:hint="eastAsia" w:ascii="宋体" w:hAnsi="宋体" w:cs="宋体"/>
          <w:color w:val="auto"/>
          <w:kern w:val="0"/>
          <w:sz w:val="24"/>
          <w:highlight w:val="none"/>
          <w:u w:val="single" w:color="000000"/>
        </w:rPr>
        <w:t xml:space="preserve">        （盖章）           </w:t>
      </w:r>
    </w:p>
    <w:p w14:paraId="6B3EFA9F">
      <w:pPr>
        <w:widowControl/>
        <w:spacing w:line="300" w:lineRule="exact"/>
        <w:textAlignment w:val="baseline"/>
        <w:rPr>
          <w:rFonts w:ascii="宋体" w:hAnsi="宋体" w:cs="宋体"/>
          <w:color w:val="auto"/>
          <w:kern w:val="0"/>
          <w:sz w:val="24"/>
          <w:highlight w:val="none"/>
          <w:u w:color="000000"/>
        </w:rPr>
      </w:pPr>
    </w:p>
    <w:p w14:paraId="6A219866">
      <w:pPr>
        <w:widowControl/>
        <w:spacing w:line="400" w:lineRule="exact"/>
        <w:ind w:firstLine="4680" w:firstLineChars="1950"/>
        <w:textAlignment w:val="baseline"/>
        <w:rPr>
          <w:rFonts w:ascii="宋体" w:hAnsi="宋体" w:cs="宋体"/>
          <w:color w:val="auto"/>
          <w:kern w:val="0"/>
          <w:sz w:val="24"/>
          <w:highlight w:val="none"/>
          <w:u w:color="000000"/>
        </w:rPr>
      </w:pPr>
    </w:p>
    <w:p w14:paraId="25E07DF6">
      <w:pPr>
        <w:widowControl/>
        <w:spacing w:line="400" w:lineRule="exact"/>
        <w:ind w:firstLine="4320" w:firstLineChars="1800"/>
        <w:textAlignment w:val="baseline"/>
        <w:rPr>
          <w:rFonts w:ascii="宋体" w:hAnsi="宋体" w:cs="宋体"/>
          <w:color w:val="auto"/>
          <w:kern w:val="0"/>
          <w:sz w:val="24"/>
          <w:highlight w:val="none"/>
          <w:u w:val="single" w:color="000000"/>
        </w:rPr>
      </w:pPr>
      <w:r>
        <w:rPr>
          <w:rFonts w:hint="eastAsia" w:ascii="宋体" w:hAnsi="宋体" w:cs="宋体"/>
          <w:color w:val="auto"/>
          <w:kern w:val="0"/>
          <w:sz w:val="24"/>
          <w:highlight w:val="none"/>
          <w:u w:color="000000"/>
        </w:rPr>
        <w:t>日    期：</w:t>
      </w:r>
      <w:r>
        <w:rPr>
          <w:rFonts w:hint="eastAsia" w:ascii="宋体" w:hAnsi="宋体" w:cs="宋体"/>
          <w:color w:val="auto"/>
          <w:kern w:val="0"/>
          <w:sz w:val="24"/>
          <w:highlight w:val="none"/>
          <w:u w:val="single" w:color="000000"/>
        </w:rPr>
        <w:t xml:space="preserve">                                </w:t>
      </w:r>
    </w:p>
    <w:p w14:paraId="304D1857">
      <w:pPr>
        <w:widowControl/>
        <w:spacing w:line="400" w:lineRule="exact"/>
        <w:ind w:firstLine="4698" w:firstLineChars="1950"/>
        <w:textAlignment w:val="baseline"/>
        <w:rPr>
          <w:rFonts w:ascii="宋体" w:hAnsi="宋体" w:cs="宋体"/>
          <w:b/>
          <w:color w:val="auto"/>
          <w:kern w:val="0"/>
          <w:sz w:val="24"/>
          <w:highlight w:val="none"/>
          <w:u w:color="000000"/>
        </w:rPr>
      </w:pPr>
    </w:p>
    <w:p w14:paraId="18AB9082">
      <w:pPr>
        <w:pStyle w:val="20"/>
        <w:ind w:left="482" w:hanging="482"/>
        <w:rPr>
          <w:rFonts w:hAnsi="宋体"/>
          <w:b/>
          <w:color w:val="auto"/>
          <w:sz w:val="24"/>
          <w:highlight w:val="none"/>
        </w:rPr>
      </w:pPr>
    </w:p>
    <w:p w14:paraId="08D388F9">
      <w:pPr>
        <w:rPr>
          <w:rFonts w:hAnsi="宋体"/>
          <w:b/>
          <w:color w:val="auto"/>
          <w:sz w:val="24"/>
          <w:highlight w:val="none"/>
        </w:rPr>
      </w:pPr>
    </w:p>
    <w:p w14:paraId="363A5F59">
      <w:pPr>
        <w:pStyle w:val="9"/>
        <w:rPr>
          <w:color w:val="auto"/>
          <w:highlight w:val="none"/>
        </w:rPr>
      </w:pPr>
    </w:p>
    <w:p w14:paraId="78689738">
      <w:pPr>
        <w:rPr>
          <w:color w:val="auto"/>
          <w:highlight w:val="none"/>
        </w:rPr>
      </w:pPr>
    </w:p>
    <w:p w14:paraId="5F7E40E5">
      <w:pPr>
        <w:rPr>
          <w:color w:val="auto"/>
          <w:highlight w:val="none"/>
        </w:rPr>
      </w:pPr>
    </w:p>
    <w:p w14:paraId="098C6D48">
      <w:pPr>
        <w:rPr>
          <w:color w:val="auto"/>
          <w:highlight w:val="none"/>
        </w:rPr>
      </w:pPr>
    </w:p>
    <w:p w14:paraId="6B491FB2">
      <w:pPr>
        <w:rPr>
          <w:color w:val="auto"/>
          <w:highlight w:val="none"/>
        </w:rPr>
      </w:pPr>
    </w:p>
    <w:p w14:paraId="3412F8EA">
      <w:pPr>
        <w:rPr>
          <w:color w:val="auto"/>
          <w:highlight w:val="none"/>
        </w:rPr>
      </w:pPr>
    </w:p>
    <w:p w14:paraId="56E4053E">
      <w:pPr>
        <w:rPr>
          <w:rFonts w:ascii="宋体"/>
          <w:color w:val="auto"/>
          <w:sz w:val="20"/>
          <w:highlight w:val="none"/>
        </w:rPr>
      </w:pPr>
    </w:p>
    <w:p w14:paraId="04AA0C5F">
      <w:pPr>
        <w:jc w:val="center"/>
        <w:outlineLvl w:val="1"/>
        <w:rPr>
          <w:rFonts w:ascii="宋体"/>
          <w:b/>
          <w:color w:val="auto"/>
          <w:sz w:val="44"/>
          <w:szCs w:val="44"/>
          <w:highlight w:val="none"/>
        </w:rPr>
      </w:pPr>
      <w:bookmarkStart w:id="170" w:name="_Toc469495746"/>
      <w:bookmarkStart w:id="171" w:name="_Toc26668"/>
      <w:r>
        <w:rPr>
          <w:rFonts w:hint="eastAsia" w:ascii="宋体"/>
          <w:b/>
          <w:color w:val="auto"/>
          <w:sz w:val="44"/>
          <w:szCs w:val="44"/>
          <w:highlight w:val="none"/>
        </w:rPr>
        <w:t>商务标</w:t>
      </w:r>
      <w:bookmarkEnd w:id="170"/>
      <w:bookmarkEnd w:id="171"/>
    </w:p>
    <w:p w14:paraId="0AA93AC2">
      <w:pPr>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193FD854">
      <w:pPr>
        <w:jc w:val="center"/>
        <w:rPr>
          <w:rFonts w:ascii="宋体"/>
          <w:color w:val="auto"/>
          <w:sz w:val="36"/>
          <w:szCs w:val="36"/>
          <w:highlight w:val="none"/>
        </w:rPr>
      </w:pPr>
    </w:p>
    <w:p w14:paraId="415ADCAB">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r>
        <w:rPr>
          <w:rFonts w:hint="eastAsia" w:ascii="宋体" w:hAnsi="宋体"/>
          <w:color w:val="auto"/>
          <w:sz w:val="32"/>
          <w:szCs w:val="32"/>
          <w:highlight w:val="none"/>
        </w:rPr>
        <w:t xml:space="preserve"> </w:t>
      </w:r>
    </w:p>
    <w:p w14:paraId="55D050E7">
      <w:pPr>
        <w:ind w:firstLine="3360" w:firstLineChars="1200"/>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33BCA461">
      <w:pPr>
        <w:rPr>
          <w:rFonts w:ascii="宋体"/>
          <w:color w:val="auto"/>
          <w:sz w:val="28"/>
          <w:szCs w:val="28"/>
          <w:highlight w:val="none"/>
        </w:rPr>
      </w:pPr>
    </w:p>
    <w:p w14:paraId="66FAFDBE">
      <w:pPr>
        <w:rPr>
          <w:rFonts w:ascii="宋体"/>
          <w:color w:val="auto"/>
          <w:sz w:val="28"/>
          <w:szCs w:val="28"/>
          <w:highlight w:val="none"/>
        </w:rPr>
      </w:pPr>
    </w:p>
    <w:p w14:paraId="45E5606D">
      <w:pPr>
        <w:rPr>
          <w:rFonts w:ascii="宋体"/>
          <w:color w:val="auto"/>
          <w:sz w:val="28"/>
          <w:szCs w:val="28"/>
          <w:highlight w:val="none"/>
        </w:rPr>
      </w:pPr>
    </w:p>
    <w:p w14:paraId="0BB11FD9">
      <w:pPr>
        <w:rPr>
          <w:rFonts w:ascii="宋体"/>
          <w:color w:val="auto"/>
          <w:sz w:val="28"/>
          <w:szCs w:val="28"/>
          <w:highlight w:val="none"/>
        </w:rPr>
      </w:pPr>
    </w:p>
    <w:p w14:paraId="251F910A">
      <w:pPr>
        <w:rPr>
          <w:rFonts w:ascii="宋体"/>
          <w:color w:val="auto"/>
          <w:sz w:val="28"/>
          <w:szCs w:val="28"/>
          <w:highlight w:val="none"/>
        </w:rPr>
      </w:pPr>
    </w:p>
    <w:p w14:paraId="470BF1DE">
      <w:pPr>
        <w:rPr>
          <w:rFonts w:ascii="宋体"/>
          <w:color w:val="auto"/>
          <w:sz w:val="28"/>
          <w:szCs w:val="28"/>
          <w:highlight w:val="none"/>
        </w:rPr>
      </w:pPr>
    </w:p>
    <w:p w14:paraId="304AA532">
      <w:pPr>
        <w:rPr>
          <w:rFonts w:ascii="宋体"/>
          <w:color w:val="auto"/>
          <w:sz w:val="28"/>
          <w:szCs w:val="28"/>
          <w:highlight w:val="none"/>
        </w:rPr>
      </w:pPr>
    </w:p>
    <w:p w14:paraId="3AB036F2">
      <w:pPr>
        <w:pStyle w:val="9"/>
        <w:rPr>
          <w:color w:val="auto"/>
          <w:highlight w:val="none"/>
        </w:rPr>
      </w:pPr>
    </w:p>
    <w:p w14:paraId="1538BC35">
      <w:pPr>
        <w:rPr>
          <w:rFonts w:ascii="宋体"/>
          <w:color w:val="auto"/>
          <w:sz w:val="28"/>
          <w:szCs w:val="28"/>
          <w:highlight w:val="none"/>
        </w:rPr>
      </w:pPr>
    </w:p>
    <w:p w14:paraId="3C98EC02">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51A2EFC1">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72D48F95">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F954A7A">
      <w:pPr>
        <w:pStyle w:val="25"/>
        <w:ind w:firstLine="562"/>
        <w:rPr>
          <w:rFonts w:hAnsi="宋体" w:cs="宋体"/>
          <w:b/>
          <w:bCs/>
          <w:color w:val="auto"/>
          <w:szCs w:val="28"/>
          <w:highlight w:val="none"/>
        </w:rPr>
      </w:pPr>
    </w:p>
    <w:p w14:paraId="7D571431">
      <w:pPr>
        <w:rPr>
          <w:rFonts w:hAnsi="宋体" w:cs="宋体"/>
          <w:b/>
          <w:bCs/>
          <w:color w:val="auto"/>
          <w:szCs w:val="28"/>
          <w:highlight w:val="none"/>
        </w:rPr>
      </w:pPr>
    </w:p>
    <w:p w14:paraId="10AE8EE5">
      <w:pPr>
        <w:spacing w:before="162" w:beforeLines="50" w:after="162" w:afterLines="50"/>
        <w:jc w:val="center"/>
        <w:rPr>
          <w:rFonts w:ascii="宋体"/>
          <w:b/>
          <w:bCs/>
          <w:color w:val="auto"/>
          <w:sz w:val="32"/>
          <w:szCs w:val="32"/>
          <w:highlight w:val="none"/>
        </w:rPr>
      </w:pPr>
    </w:p>
    <w:p w14:paraId="3BC9665E">
      <w:pPr>
        <w:spacing w:before="162" w:beforeLines="50" w:after="162" w:afterLines="50"/>
        <w:jc w:val="center"/>
        <w:rPr>
          <w:rFonts w:hint="eastAsia" w:ascii="宋体"/>
          <w:b/>
          <w:bCs/>
          <w:color w:val="auto"/>
          <w:sz w:val="32"/>
          <w:szCs w:val="32"/>
          <w:highlight w:val="none"/>
        </w:rPr>
      </w:pPr>
    </w:p>
    <w:p w14:paraId="13AC9AAC">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5FB663C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731F3C2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38E9BFAC">
      <w:pPr>
        <w:spacing w:line="440" w:lineRule="exact"/>
        <w:ind w:firstLine="420" w:firstLineChars="200"/>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分项报价清单</w:t>
      </w:r>
    </w:p>
    <w:p w14:paraId="1052D8F1">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商务标中要求提供的相关资料和商务标评分细则中需要提供的相关资料；</w:t>
      </w:r>
    </w:p>
    <w:p w14:paraId="60F6B950">
      <w:pPr>
        <w:rPr>
          <w:color w:val="auto"/>
          <w:highlight w:val="none"/>
        </w:rPr>
      </w:pPr>
    </w:p>
    <w:p w14:paraId="743012F1">
      <w:pPr>
        <w:pStyle w:val="25"/>
        <w:ind w:firstLine="560"/>
        <w:rPr>
          <w:color w:val="auto"/>
          <w:highlight w:val="none"/>
        </w:rPr>
      </w:pPr>
    </w:p>
    <w:p w14:paraId="7353A26E">
      <w:pPr>
        <w:rPr>
          <w:color w:val="auto"/>
          <w:highlight w:val="none"/>
        </w:rPr>
      </w:pPr>
    </w:p>
    <w:p w14:paraId="6A8B51F7">
      <w:pPr>
        <w:pStyle w:val="25"/>
        <w:ind w:firstLine="560"/>
        <w:rPr>
          <w:color w:val="auto"/>
          <w:highlight w:val="none"/>
        </w:rPr>
      </w:pPr>
    </w:p>
    <w:p w14:paraId="7DD4623E">
      <w:pPr>
        <w:rPr>
          <w:color w:val="auto"/>
          <w:highlight w:val="none"/>
        </w:rPr>
      </w:pPr>
    </w:p>
    <w:p w14:paraId="57C9EBD8">
      <w:pPr>
        <w:pStyle w:val="4"/>
        <w:rPr>
          <w:color w:val="auto"/>
          <w:highlight w:val="none"/>
        </w:rPr>
      </w:pPr>
    </w:p>
    <w:p w14:paraId="7869991A">
      <w:pPr>
        <w:rPr>
          <w:color w:val="auto"/>
          <w:highlight w:val="none"/>
        </w:rPr>
      </w:pPr>
    </w:p>
    <w:p w14:paraId="06238045">
      <w:pPr>
        <w:pStyle w:val="4"/>
        <w:rPr>
          <w:color w:val="auto"/>
          <w:highlight w:val="none"/>
        </w:rPr>
      </w:pPr>
    </w:p>
    <w:p w14:paraId="1AFC9A6E">
      <w:pPr>
        <w:rPr>
          <w:color w:val="auto"/>
          <w:highlight w:val="none"/>
        </w:rPr>
      </w:pPr>
    </w:p>
    <w:p w14:paraId="67BD2CC0">
      <w:pPr>
        <w:pStyle w:val="4"/>
        <w:rPr>
          <w:color w:val="auto"/>
          <w:highlight w:val="none"/>
        </w:rPr>
      </w:pPr>
    </w:p>
    <w:p w14:paraId="5F6AA3D4">
      <w:pPr>
        <w:rPr>
          <w:color w:val="auto"/>
          <w:highlight w:val="none"/>
        </w:rPr>
      </w:pPr>
    </w:p>
    <w:p w14:paraId="191BF34E">
      <w:pPr>
        <w:pStyle w:val="4"/>
        <w:rPr>
          <w:color w:val="auto"/>
          <w:highlight w:val="none"/>
        </w:rPr>
      </w:pPr>
    </w:p>
    <w:p w14:paraId="6051B167">
      <w:pPr>
        <w:rPr>
          <w:color w:val="auto"/>
          <w:highlight w:val="none"/>
        </w:rPr>
      </w:pPr>
    </w:p>
    <w:p w14:paraId="390FB3DB">
      <w:pPr>
        <w:rPr>
          <w:color w:val="auto"/>
          <w:highlight w:val="none"/>
        </w:rPr>
      </w:pPr>
    </w:p>
    <w:p w14:paraId="2A73A091">
      <w:pPr>
        <w:pStyle w:val="25"/>
        <w:ind w:firstLine="560"/>
        <w:rPr>
          <w:color w:val="auto"/>
          <w:highlight w:val="none"/>
        </w:rPr>
      </w:pPr>
    </w:p>
    <w:p w14:paraId="30E3A382">
      <w:pPr>
        <w:pStyle w:val="25"/>
        <w:ind w:firstLine="560"/>
        <w:rPr>
          <w:color w:val="auto"/>
          <w:highlight w:val="none"/>
        </w:rPr>
      </w:pPr>
    </w:p>
    <w:p w14:paraId="28047AFC">
      <w:pPr>
        <w:pStyle w:val="25"/>
        <w:ind w:firstLine="560"/>
        <w:rPr>
          <w:color w:val="auto"/>
          <w:highlight w:val="none"/>
        </w:rPr>
      </w:pPr>
    </w:p>
    <w:p w14:paraId="4EEED755">
      <w:pPr>
        <w:pStyle w:val="20"/>
        <w:ind w:left="420" w:hanging="420"/>
        <w:rPr>
          <w:color w:val="auto"/>
          <w:highlight w:val="none"/>
        </w:rPr>
      </w:pPr>
    </w:p>
    <w:p w14:paraId="3BC7C427">
      <w:pPr>
        <w:pageBreakBefore/>
        <w:widowControl/>
        <w:spacing w:line="360" w:lineRule="exact"/>
        <w:jc w:val="center"/>
        <w:textAlignment w:val="baseline"/>
        <w:rPr>
          <w:rFonts w:ascii="宋体"/>
          <w:b/>
          <w:color w:val="auto"/>
          <w:kern w:val="0"/>
          <w:sz w:val="32"/>
          <w:szCs w:val="32"/>
          <w:highlight w:val="none"/>
          <w:u w:color="000000"/>
        </w:rPr>
      </w:pPr>
      <w:r>
        <w:rPr>
          <w:rFonts w:hint="eastAsia" w:ascii="宋体"/>
          <w:b/>
          <w:color w:val="auto"/>
          <w:kern w:val="0"/>
          <w:sz w:val="32"/>
          <w:szCs w:val="32"/>
          <w:highlight w:val="none"/>
          <w:u w:color="000000"/>
        </w:rPr>
        <w:t>开标一览表</w:t>
      </w:r>
    </w:p>
    <w:p w14:paraId="79BCD1B3">
      <w:pPr>
        <w:snapToGrid w:val="0"/>
        <w:spacing w:line="460" w:lineRule="exact"/>
        <w:textAlignment w:val="baseline"/>
        <w:rPr>
          <w:rFonts w:ascii="宋体"/>
          <w:color w:val="auto"/>
          <w:kern w:val="0"/>
          <w:sz w:val="24"/>
          <w:highlight w:val="none"/>
          <w:u w:color="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786F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exact"/>
          <w:jc w:val="center"/>
        </w:trPr>
        <w:tc>
          <w:tcPr>
            <w:tcW w:w="1812" w:type="dxa"/>
            <w:vAlign w:val="center"/>
          </w:tcPr>
          <w:p w14:paraId="5BC5AF72">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项目名称</w:t>
            </w:r>
          </w:p>
        </w:tc>
        <w:tc>
          <w:tcPr>
            <w:tcW w:w="7836" w:type="dxa"/>
            <w:vAlign w:val="center"/>
          </w:tcPr>
          <w:p w14:paraId="49E88626">
            <w:pPr>
              <w:widowControl/>
              <w:spacing w:line="360" w:lineRule="auto"/>
              <w:jc w:val="center"/>
              <w:textAlignment w:val="baseline"/>
              <w:rPr>
                <w:rFonts w:hint="eastAsia" w:ascii="宋体" w:hAnsi="宋体" w:eastAsia="宋体" w:cs="宋体"/>
                <w:color w:val="auto"/>
                <w:kern w:val="0"/>
                <w:sz w:val="24"/>
                <w:highlight w:val="none"/>
                <w:u w:color="000000"/>
                <w:lang w:eastAsia="zh-CN"/>
              </w:rPr>
            </w:pPr>
            <w:r>
              <w:rPr>
                <w:rFonts w:hint="eastAsia" w:ascii="宋体" w:hAnsi="宋体" w:cs="宋体"/>
                <w:color w:val="auto"/>
                <w:kern w:val="0"/>
                <w:sz w:val="24"/>
                <w:highlight w:val="none"/>
                <w:u w:color="000000"/>
                <w:lang w:eastAsia="zh-CN"/>
              </w:rPr>
              <w:t>滁州学院会峰校区学生公寓15、16号楼监控采购及安装</w:t>
            </w:r>
          </w:p>
        </w:tc>
      </w:tr>
      <w:tr w14:paraId="5CDD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exact"/>
          <w:jc w:val="center"/>
        </w:trPr>
        <w:tc>
          <w:tcPr>
            <w:tcW w:w="1812" w:type="dxa"/>
            <w:vAlign w:val="center"/>
          </w:tcPr>
          <w:p w14:paraId="5F595139">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项目编号</w:t>
            </w:r>
          </w:p>
        </w:tc>
        <w:tc>
          <w:tcPr>
            <w:tcW w:w="7836" w:type="dxa"/>
            <w:vAlign w:val="center"/>
          </w:tcPr>
          <w:p w14:paraId="008DD97E">
            <w:pPr>
              <w:widowControl/>
              <w:spacing w:line="357" w:lineRule="atLeast"/>
              <w:jc w:val="center"/>
              <w:textAlignment w:val="baseline"/>
              <w:rPr>
                <w:rFonts w:hint="eastAsia" w:ascii="宋体" w:hAnsi="宋体" w:eastAsia="宋体" w:cs="宋体"/>
                <w:color w:val="auto"/>
                <w:kern w:val="0"/>
                <w:sz w:val="24"/>
                <w:highlight w:val="none"/>
                <w:u w:color="000000"/>
                <w:lang w:eastAsia="zh-CN"/>
              </w:rPr>
            </w:pPr>
            <w:r>
              <w:rPr>
                <w:rFonts w:hint="eastAsia" w:ascii="宋体" w:hAnsi="宋体" w:cs="宋体"/>
                <w:color w:val="auto"/>
                <w:kern w:val="0"/>
                <w:sz w:val="24"/>
                <w:highlight w:val="none"/>
                <w:u w:color="000000"/>
                <w:lang w:eastAsia="zh-CN"/>
              </w:rPr>
              <w:t>2025CG-011</w:t>
            </w:r>
          </w:p>
        </w:tc>
      </w:tr>
      <w:tr w14:paraId="7B3C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1812" w:type="dxa"/>
            <w:vAlign w:val="center"/>
          </w:tcPr>
          <w:p w14:paraId="357E4835">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投标供应商名称</w:t>
            </w:r>
          </w:p>
        </w:tc>
        <w:tc>
          <w:tcPr>
            <w:tcW w:w="7836" w:type="dxa"/>
          </w:tcPr>
          <w:p w14:paraId="48A4F44B">
            <w:pPr>
              <w:spacing w:line="460" w:lineRule="exact"/>
              <w:ind w:left="86" w:leftChars="41"/>
              <w:jc w:val="center"/>
              <w:rPr>
                <w:rFonts w:ascii="宋体" w:hAnsi="宋体" w:cs="宋体"/>
                <w:color w:val="auto"/>
                <w:sz w:val="24"/>
                <w:highlight w:val="none"/>
                <w:u w:color="000000"/>
              </w:rPr>
            </w:pPr>
          </w:p>
        </w:tc>
      </w:tr>
      <w:tr w14:paraId="5218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exact"/>
          <w:jc w:val="center"/>
        </w:trPr>
        <w:tc>
          <w:tcPr>
            <w:tcW w:w="1812" w:type="dxa"/>
            <w:vAlign w:val="center"/>
          </w:tcPr>
          <w:p w14:paraId="621EC0F7">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总投标价\供货期限</w:t>
            </w:r>
          </w:p>
        </w:tc>
        <w:tc>
          <w:tcPr>
            <w:tcW w:w="7836" w:type="dxa"/>
            <w:vAlign w:val="center"/>
          </w:tcPr>
          <w:p w14:paraId="50DDBE63">
            <w:pPr>
              <w:widowControl/>
              <w:spacing w:line="360" w:lineRule="auto"/>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总投标价 （大写）：</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65DDC310">
            <w:pPr>
              <w:widowControl/>
              <w:spacing w:line="360" w:lineRule="auto"/>
              <w:ind w:firstLine="1080" w:firstLineChars="450"/>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 xml:space="preserve"> （小写） ：</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07913A9F">
            <w:pPr>
              <w:widowControl/>
              <w:spacing w:line="360" w:lineRule="auto"/>
              <w:textAlignment w:val="baseline"/>
              <w:rPr>
                <w:rFonts w:ascii="宋体" w:hAnsi="宋体" w:cs="宋体"/>
                <w:color w:val="auto"/>
                <w:kern w:val="0"/>
                <w:sz w:val="24"/>
                <w:highlight w:val="none"/>
                <w:u w:color="000000"/>
              </w:rPr>
            </w:pPr>
          </w:p>
          <w:p w14:paraId="69829843">
            <w:pPr>
              <w:widowControl/>
              <w:spacing w:line="360" w:lineRule="auto"/>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供货期限：         。</w:t>
            </w:r>
          </w:p>
        </w:tc>
      </w:tr>
    </w:tbl>
    <w:p w14:paraId="04708632">
      <w:pPr>
        <w:snapToGrid w:val="0"/>
        <w:spacing w:line="460" w:lineRule="exact"/>
        <w:ind w:left="2940" w:leftChars="1400" w:firstLine="723" w:firstLineChars="300"/>
        <w:textAlignment w:val="baseline"/>
        <w:rPr>
          <w:rFonts w:ascii="宋体"/>
          <w:b/>
          <w:color w:val="auto"/>
          <w:kern w:val="0"/>
          <w:sz w:val="24"/>
          <w:highlight w:val="none"/>
          <w:u w:color="000000"/>
        </w:rPr>
      </w:pPr>
    </w:p>
    <w:p w14:paraId="6BD8CF27">
      <w:pPr>
        <w:snapToGrid w:val="0"/>
        <w:spacing w:line="460" w:lineRule="exact"/>
        <w:ind w:left="2940" w:leftChars="1400" w:firstLine="723" w:firstLineChars="300"/>
        <w:textAlignment w:val="baseline"/>
        <w:rPr>
          <w:rFonts w:ascii="宋体"/>
          <w:b/>
          <w:color w:val="auto"/>
          <w:kern w:val="0"/>
          <w:sz w:val="24"/>
          <w:highlight w:val="none"/>
          <w:u w:color="000000"/>
        </w:rPr>
      </w:pPr>
    </w:p>
    <w:p w14:paraId="779004B3">
      <w:pPr>
        <w:snapToGrid w:val="0"/>
        <w:spacing w:line="460" w:lineRule="exact"/>
        <w:ind w:left="2940" w:leftChars="1400" w:firstLine="723" w:firstLineChars="300"/>
        <w:textAlignment w:val="baseline"/>
        <w:rPr>
          <w:rFonts w:ascii="宋体"/>
          <w:b/>
          <w:color w:val="auto"/>
          <w:kern w:val="0"/>
          <w:sz w:val="24"/>
          <w:highlight w:val="none"/>
          <w:u w:color="000000"/>
        </w:rPr>
      </w:pPr>
    </w:p>
    <w:p w14:paraId="6B1138D7">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法定代表人或委托代理人（签字或盖章）：</w:t>
      </w:r>
    </w:p>
    <w:p w14:paraId="0EBE8D04">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3F347E23">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投标供应商（盖单位章）：</w:t>
      </w:r>
    </w:p>
    <w:p w14:paraId="5BD7DA95">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02E9661E">
      <w:pPr>
        <w:snapToGrid w:val="0"/>
        <w:spacing w:before="324" w:beforeLines="100" w:after="324" w:afterLines="100" w:line="360" w:lineRule="auto"/>
        <w:jc w:val="center"/>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日  期：    年  月  日 </w:t>
      </w:r>
    </w:p>
    <w:p w14:paraId="4EFF3429">
      <w:pPr>
        <w:rPr>
          <w:color w:val="auto"/>
          <w:highlight w:val="none"/>
        </w:rPr>
      </w:pPr>
    </w:p>
    <w:p w14:paraId="2F80E9A1">
      <w:pPr>
        <w:rPr>
          <w:color w:val="auto"/>
          <w:highlight w:val="none"/>
        </w:rPr>
      </w:pPr>
    </w:p>
    <w:p w14:paraId="7F8FA312">
      <w:pPr>
        <w:pStyle w:val="9"/>
        <w:rPr>
          <w:color w:val="auto"/>
          <w:highlight w:val="none"/>
        </w:rPr>
      </w:pPr>
    </w:p>
    <w:p w14:paraId="446FE4B9">
      <w:pPr>
        <w:pStyle w:val="25"/>
        <w:ind w:firstLine="0" w:firstLineChars="0"/>
        <w:jc w:val="center"/>
        <w:rPr>
          <w:rFonts w:hAnsi="宋体" w:cs="宋体"/>
          <w:color w:val="auto"/>
          <w:sz w:val="24"/>
          <w:highlight w:val="none"/>
        </w:rPr>
      </w:pPr>
      <w:r>
        <w:rPr>
          <w:rFonts w:hint="eastAsia"/>
          <w:b/>
          <w:bCs/>
          <w:color w:val="auto"/>
          <w:highlight w:val="none"/>
        </w:rPr>
        <w:t>投  标  函</w:t>
      </w:r>
    </w:p>
    <w:p w14:paraId="13A6585D">
      <w:pPr>
        <w:spacing w:line="440" w:lineRule="exact"/>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p>
    <w:p w14:paraId="6F98A260">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1、我公司决定参加贵单位组织的</w:t>
      </w:r>
      <w:r>
        <w:rPr>
          <w:rFonts w:hint="eastAsia" w:ascii="宋体" w:hAnsi="宋体" w:cs="宋体"/>
          <w:color w:val="auto"/>
          <w:sz w:val="24"/>
          <w:highlight w:val="none"/>
          <w:u w:val="single"/>
        </w:rPr>
        <w:t>“                     （项目名称）</w:t>
      </w:r>
      <w:r>
        <w:rPr>
          <w:rFonts w:hint="eastAsia" w:ascii="宋体" w:hAnsi="宋体" w:cs="宋体"/>
          <w:color w:val="auto"/>
          <w:sz w:val="24"/>
          <w:highlight w:val="none"/>
        </w:rPr>
        <w:t>”的采购。我方授权</w:t>
      </w:r>
      <w:r>
        <w:rPr>
          <w:rFonts w:hint="eastAsia" w:ascii="宋体" w:hAnsi="宋体" w:cs="宋体"/>
          <w:color w:val="auto"/>
          <w:sz w:val="24"/>
          <w:highlight w:val="none"/>
          <w:u w:val="single"/>
        </w:rPr>
        <w:t xml:space="preserve">             （姓名和职务）</w:t>
      </w:r>
      <w:r>
        <w:rPr>
          <w:rFonts w:hint="eastAsia" w:ascii="宋体" w:hAnsi="宋体" w:cs="宋体"/>
          <w:color w:val="auto"/>
          <w:sz w:val="24"/>
          <w:highlight w:val="none"/>
        </w:rPr>
        <w:t>代表我方</w:t>
      </w:r>
      <w:r>
        <w:rPr>
          <w:rFonts w:hint="eastAsia" w:ascii="宋体" w:hAnsi="宋体" w:cs="宋体"/>
          <w:color w:val="auto"/>
          <w:sz w:val="24"/>
          <w:highlight w:val="none"/>
          <w:u w:val="single"/>
        </w:rPr>
        <w:t xml:space="preserve">             （投标供应商的名称）</w:t>
      </w:r>
      <w:r>
        <w:rPr>
          <w:rFonts w:hint="eastAsia" w:ascii="宋体" w:hAnsi="宋体" w:cs="宋体"/>
          <w:color w:val="auto"/>
          <w:sz w:val="24"/>
          <w:highlight w:val="none"/>
        </w:rPr>
        <w:t>全权处理本项目投标的有关事宜。</w:t>
      </w:r>
    </w:p>
    <w:p w14:paraId="4D9A3EBA">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2、我方愿意按照采购文件规定的各项要求，向采购人提供本项目的货物与服务，总投标价为人民币（大写）</w:t>
      </w:r>
      <w:r>
        <w:rPr>
          <w:rFonts w:hint="eastAsia" w:ascii="宋体" w:hAnsi="宋体" w:cs="宋体"/>
          <w:color w:val="auto"/>
          <w:sz w:val="24"/>
          <w:highlight w:val="none"/>
          <w:u w:val="single"/>
        </w:rPr>
        <w:t xml:space="preserve">                   （小写）                  元 。</w:t>
      </w:r>
    </w:p>
    <w:p w14:paraId="3165372B">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3、一旦我方成为合同签字人，我方将严格履行合同规定的责任和义务。</w:t>
      </w:r>
    </w:p>
    <w:p w14:paraId="13023F0C">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4、我方同意按照采购文件的要求，递交金额为人民币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（大写）</w:t>
      </w:r>
      <w:r>
        <w:rPr>
          <w:rFonts w:hint="eastAsia" w:ascii="宋体" w:hAnsi="宋体" w:cs="宋体"/>
          <w:color w:val="auto"/>
          <w:sz w:val="24"/>
          <w:highlight w:val="none"/>
        </w:rPr>
        <w:t>的采购投标保证金。并且承诺，在采购有效期内如果我方撤回采购投标书或成为合同签字人后拒绝签订合同，我方将放弃要求退还该保证金的权力。</w:t>
      </w:r>
    </w:p>
    <w:p w14:paraId="58395B57">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5、一旦我方中标，为本项目提交的投标书一式三份，其中正本一份、副本二份。</w:t>
      </w:r>
    </w:p>
    <w:p w14:paraId="2B720A59">
      <w:pPr>
        <w:tabs>
          <w:tab w:val="left" w:pos="0"/>
        </w:tabs>
        <w:spacing w:line="560" w:lineRule="exact"/>
        <w:ind w:firstLine="480" w:firstLineChars="200"/>
        <w:rPr>
          <w:color w:val="auto"/>
          <w:sz w:val="24"/>
          <w:highlight w:val="none"/>
        </w:rPr>
      </w:pPr>
      <w:r>
        <w:rPr>
          <w:rFonts w:hint="eastAsia" w:ascii="宋体" w:hAnsi="宋体" w:cs="宋体"/>
          <w:color w:val="auto"/>
          <w:sz w:val="24"/>
          <w:highlight w:val="none"/>
        </w:rPr>
        <w:t>6、我方愿意提供可能另外要求的、与采购投标有关的文件资料，并保证我方已提供和将要提供的文件是真实的、准</w:t>
      </w:r>
      <w:r>
        <w:rPr>
          <w:rFonts w:hint="eastAsia"/>
          <w:color w:val="auto"/>
          <w:sz w:val="24"/>
          <w:highlight w:val="none"/>
        </w:rPr>
        <w:t>确的。</w:t>
      </w:r>
    </w:p>
    <w:p w14:paraId="5103C7D5">
      <w:pPr>
        <w:spacing w:line="440" w:lineRule="exact"/>
        <w:rPr>
          <w:rFonts w:ascii="宋体" w:hAnsi="宋体" w:cs="宋体"/>
          <w:color w:val="auto"/>
          <w:sz w:val="24"/>
          <w:highlight w:val="none"/>
        </w:rPr>
      </w:pPr>
      <w:r>
        <w:rPr>
          <w:rFonts w:hint="eastAsia" w:ascii="宋体" w:hAnsi="宋体" w:cs="宋体"/>
          <w:color w:val="auto"/>
          <w:sz w:val="24"/>
          <w:highlight w:val="none"/>
        </w:rPr>
        <w:t> </w:t>
      </w:r>
    </w:p>
    <w:p w14:paraId="19160582">
      <w:pPr>
        <w:spacing w:line="440" w:lineRule="exact"/>
        <w:rPr>
          <w:rFonts w:ascii="宋体" w:hAnsi="宋体" w:cs="宋体"/>
          <w:color w:val="auto"/>
          <w:sz w:val="24"/>
          <w:highlight w:val="none"/>
        </w:rPr>
      </w:pPr>
    </w:p>
    <w:p w14:paraId="7CDDF88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 xml:space="preserve">投标供应商名称：（公章） </w:t>
      </w:r>
    </w:p>
    <w:p w14:paraId="6A937A7A">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投标供应商授权代表或法定代表人（签字或盖章）：</w:t>
      </w:r>
    </w:p>
    <w:p w14:paraId="36CE7FD9">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日期：</w:t>
      </w:r>
    </w:p>
    <w:p w14:paraId="2B0B8665">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通讯地址：</w:t>
      </w:r>
    </w:p>
    <w:p w14:paraId="742F8D0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电话：</w:t>
      </w:r>
    </w:p>
    <w:p w14:paraId="743F5A12">
      <w:pPr>
        <w:pStyle w:val="23"/>
        <w:wordWrap w:val="0"/>
        <w:spacing w:line="560" w:lineRule="exact"/>
        <w:ind w:firstLine="480"/>
        <w:rPr>
          <w:rFonts w:hint="eastAsia"/>
          <w:color w:val="auto"/>
          <w:kern w:val="2"/>
          <w:sz w:val="24"/>
          <w:szCs w:val="24"/>
          <w:highlight w:val="none"/>
        </w:rPr>
      </w:pPr>
      <w:r>
        <w:rPr>
          <w:rFonts w:hint="eastAsia"/>
          <w:color w:val="auto"/>
          <w:kern w:val="2"/>
          <w:sz w:val="24"/>
          <w:szCs w:val="24"/>
          <w:highlight w:val="none"/>
        </w:rPr>
        <w:t>传真：</w:t>
      </w:r>
    </w:p>
    <w:p w14:paraId="5F416808">
      <w:pPr>
        <w:rPr>
          <w:rFonts w:hint="eastAsia"/>
          <w:color w:val="auto"/>
          <w:kern w:val="2"/>
          <w:sz w:val="24"/>
          <w:szCs w:val="24"/>
          <w:highlight w:val="none"/>
        </w:rPr>
      </w:pPr>
      <w:r>
        <w:rPr>
          <w:rFonts w:hint="eastAsia"/>
          <w:color w:val="auto"/>
          <w:kern w:val="2"/>
          <w:sz w:val="24"/>
          <w:szCs w:val="24"/>
          <w:highlight w:val="none"/>
        </w:rPr>
        <w:br w:type="page"/>
      </w:r>
    </w:p>
    <w:p w14:paraId="52AED84E">
      <w:pPr>
        <w:spacing w:line="360" w:lineRule="auto"/>
        <w:jc w:val="center"/>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投标分项报价表</w:t>
      </w:r>
    </w:p>
    <w:p w14:paraId="04B2E3E9">
      <w:pPr>
        <w:spacing w:line="360" w:lineRule="auto"/>
        <w:ind w:firstLine="435"/>
        <w:rPr>
          <w:rFonts w:asciiTheme="minorEastAsia" w:hAnsiTheme="minorEastAsia" w:eastAsiaTheme="minorEastAsia"/>
          <w:b/>
          <w:color w:val="auto"/>
          <w:sz w:val="24"/>
          <w:highlight w: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443"/>
        <w:gridCol w:w="1436"/>
        <w:gridCol w:w="1436"/>
        <w:gridCol w:w="732"/>
        <w:gridCol w:w="732"/>
        <w:gridCol w:w="1024"/>
        <w:gridCol w:w="1024"/>
        <w:gridCol w:w="730"/>
      </w:tblGrid>
      <w:tr w14:paraId="3148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1445A598">
            <w:pPr>
              <w:pStyle w:val="78"/>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序号</w:t>
            </w:r>
          </w:p>
        </w:tc>
        <w:tc>
          <w:tcPr>
            <w:tcW w:w="777" w:type="pct"/>
            <w:vAlign w:val="center"/>
          </w:tcPr>
          <w:p w14:paraId="4D0346AA">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货物名称</w:t>
            </w:r>
          </w:p>
        </w:tc>
        <w:tc>
          <w:tcPr>
            <w:tcW w:w="773" w:type="pct"/>
            <w:vAlign w:val="center"/>
          </w:tcPr>
          <w:p w14:paraId="730EFACE">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品牌、型</w:t>
            </w:r>
          </w:p>
          <w:p w14:paraId="6EF3068A">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号</w:t>
            </w:r>
          </w:p>
        </w:tc>
        <w:tc>
          <w:tcPr>
            <w:tcW w:w="773" w:type="pct"/>
            <w:vAlign w:val="center"/>
          </w:tcPr>
          <w:p w14:paraId="09F6D79B">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原产地及</w:t>
            </w:r>
          </w:p>
          <w:p w14:paraId="26EF8548">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生产厂商</w:t>
            </w:r>
          </w:p>
        </w:tc>
        <w:tc>
          <w:tcPr>
            <w:tcW w:w="394" w:type="pct"/>
            <w:vAlign w:val="center"/>
          </w:tcPr>
          <w:p w14:paraId="24953D71">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394" w:type="pct"/>
            <w:vAlign w:val="center"/>
          </w:tcPr>
          <w:p w14:paraId="2D0114F4">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551" w:type="pct"/>
            <w:vAlign w:val="center"/>
          </w:tcPr>
          <w:p w14:paraId="17DF7EA9">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p w14:paraId="672A42B6">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551" w:type="pct"/>
            <w:vAlign w:val="center"/>
          </w:tcPr>
          <w:p w14:paraId="76B274CA">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w:t>
            </w:r>
          </w:p>
          <w:p w14:paraId="77235AE1">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393" w:type="pct"/>
            <w:vAlign w:val="center"/>
          </w:tcPr>
          <w:p w14:paraId="0AC9C653">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p>
        </w:tc>
      </w:tr>
      <w:tr w14:paraId="5533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6F9E1E3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777" w:type="pct"/>
          </w:tcPr>
          <w:p w14:paraId="3C0662A2">
            <w:pPr>
              <w:rPr>
                <w:rFonts w:asciiTheme="minorEastAsia" w:hAnsiTheme="minorEastAsia" w:eastAsiaTheme="minorEastAsia"/>
                <w:color w:val="auto"/>
                <w:sz w:val="24"/>
                <w:highlight w:val="none"/>
              </w:rPr>
            </w:pPr>
          </w:p>
        </w:tc>
        <w:tc>
          <w:tcPr>
            <w:tcW w:w="773" w:type="pct"/>
          </w:tcPr>
          <w:p w14:paraId="5B8C76C1">
            <w:pPr>
              <w:rPr>
                <w:rFonts w:asciiTheme="minorEastAsia" w:hAnsiTheme="minorEastAsia" w:eastAsiaTheme="minorEastAsia"/>
                <w:color w:val="auto"/>
                <w:sz w:val="24"/>
                <w:highlight w:val="none"/>
              </w:rPr>
            </w:pPr>
          </w:p>
        </w:tc>
        <w:tc>
          <w:tcPr>
            <w:tcW w:w="773" w:type="pct"/>
          </w:tcPr>
          <w:p w14:paraId="71017FE3">
            <w:pPr>
              <w:rPr>
                <w:rFonts w:asciiTheme="minorEastAsia" w:hAnsiTheme="minorEastAsia" w:eastAsiaTheme="minorEastAsia"/>
                <w:color w:val="auto"/>
                <w:sz w:val="24"/>
                <w:highlight w:val="none"/>
              </w:rPr>
            </w:pPr>
          </w:p>
        </w:tc>
        <w:tc>
          <w:tcPr>
            <w:tcW w:w="394" w:type="pct"/>
          </w:tcPr>
          <w:p w14:paraId="1DDF5FCA">
            <w:pPr>
              <w:rPr>
                <w:rFonts w:asciiTheme="minorEastAsia" w:hAnsiTheme="minorEastAsia" w:eastAsiaTheme="minorEastAsia"/>
                <w:color w:val="auto"/>
                <w:sz w:val="24"/>
                <w:highlight w:val="none"/>
              </w:rPr>
            </w:pPr>
          </w:p>
        </w:tc>
        <w:tc>
          <w:tcPr>
            <w:tcW w:w="394" w:type="pct"/>
          </w:tcPr>
          <w:p w14:paraId="674C4965">
            <w:pPr>
              <w:rPr>
                <w:rFonts w:asciiTheme="minorEastAsia" w:hAnsiTheme="minorEastAsia" w:eastAsiaTheme="minorEastAsia"/>
                <w:color w:val="auto"/>
                <w:sz w:val="24"/>
                <w:highlight w:val="none"/>
              </w:rPr>
            </w:pPr>
          </w:p>
        </w:tc>
        <w:tc>
          <w:tcPr>
            <w:tcW w:w="551" w:type="pct"/>
          </w:tcPr>
          <w:p w14:paraId="6C0568E4">
            <w:pPr>
              <w:rPr>
                <w:rFonts w:asciiTheme="minorEastAsia" w:hAnsiTheme="minorEastAsia" w:eastAsiaTheme="minorEastAsia"/>
                <w:color w:val="auto"/>
                <w:sz w:val="24"/>
                <w:highlight w:val="none"/>
              </w:rPr>
            </w:pPr>
          </w:p>
        </w:tc>
        <w:tc>
          <w:tcPr>
            <w:tcW w:w="551" w:type="pct"/>
          </w:tcPr>
          <w:p w14:paraId="00944A21">
            <w:pPr>
              <w:rPr>
                <w:rFonts w:asciiTheme="minorEastAsia" w:hAnsiTheme="minorEastAsia" w:eastAsiaTheme="minorEastAsia"/>
                <w:color w:val="auto"/>
                <w:sz w:val="24"/>
                <w:highlight w:val="none"/>
              </w:rPr>
            </w:pPr>
          </w:p>
        </w:tc>
        <w:tc>
          <w:tcPr>
            <w:tcW w:w="393" w:type="pct"/>
          </w:tcPr>
          <w:p w14:paraId="38608916">
            <w:pPr>
              <w:rPr>
                <w:rFonts w:asciiTheme="minorEastAsia" w:hAnsiTheme="minorEastAsia" w:eastAsiaTheme="minorEastAsia"/>
                <w:color w:val="auto"/>
                <w:sz w:val="24"/>
                <w:highlight w:val="none"/>
              </w:rPr>
            </w:pPr>
          </w:p>
        </w:tc>
      </w:tr>
      <w:tr w14:paraId="7D4C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9A2A67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777" w:type="pct"/>
          </w:tcPr>
          <w:p w14:paraId="47CF6858">
            <w:pPr>
              <w:rPr>
                <w:rFonts w:asciiTheme="minorEastAsia" w:hAnsiTheme="minorEastAsia" w:eastAsiaTheme="minorEastAsia"/>
                <w:color w:val="auto"/>
                <w:sz w:val="24"/>
                <w:highlight w:val="none"/>
              </w:rPr>
            </w:pPr>
          </w:p>
        </w:tc>
        <w:tc>
          <w:tcPr>
            <w:tcW w:w="773" w:type="pct"/>
          </w:tcPr>
          <w:p w14:paraId="64FADF0C">
            <w:pPr>
              <w:rPr>
                <w:rFonts w:asciiTheme="minorEastAsia" w:hAnsiTheme="minorEastAsia" w:eastAsiaTheme="minorEastAsia"/>
                <w:color w:val="auto"/>
                <w:sz w:val="24"/>
                <w:highlight w:val="none"/>
              </w:rPr>
            </w:pPr>
          </w:p>
        </w:tc>
        <w:tc>
          <w:tcPr>
            <w:tcW w:w="773" w:type="pct"/>
          </w:tcPr>
          <w:p w14:paraId="3F525B8A">
            <w:pPr>
              <w:rPr>
                <w:rFonts w:asciiTheme="minorEastAsia" w:hAnsiTheme="minorEastAsia" w:eastAsiaTheme="minorEastAsia"/>
                <w:color w:val="auto"/>
                <w:sz w:val="24"/>
                <w:highlight w:val="none"/>
              </w:rPr>
            </w:pPr>
          </w:p>
        </w:tc>
        <w:tc>
          <w:tcPr>
            <w:tcW w:w="394" w:type="pct"/>
          </w:tcPr>
          <w:p w14:paraId="76512BE1">
            <w:pPr>
              <w:rPr>
                <w:rFonts w:asciiTheme="minorEastAsia" w:hAnsiTheme="minorEastAsia" w:eastAsiaTheme="minorEastAsia"/>
                <w:color w:val="auto"/>
                <w:sz w:val="24"/>
                <w:highlight w:val="none"/>
              </w:rPr>
            </w:pPr>
          </w:p>
        </w:tc>
        <w:tc>
          <w:tcPr>
            <w:tcW w:w="394" w:type="pct"/>
          </w:tcPr>
          <w:p w14:paraId="549D99A6">
            <w:pPr>
              <w:rPr>
                <w:rFonts w:asciiTheme="minorEastAsia" w:hAnsiTheme="minorEastAsia" w:eastAsiaTheme="minorEastAsia"/>
                <w:color w:val="auto"/>
                <w:sz w:val="24"/>
                <w:highlight w:val="none"/>
              </w:rPr>
            </w:pPr>
          </w:p>
        </w:tc>
        <w:tc>
          <w:tcPr>
            <w:tcW w:w="551" w:type="pct"/>
          </w:tcPr>
          <w:p w14:paraId="5459FCF0">
            <w:pPr>
              <w:rPr>
                <w:rFonts w:asciiTheme="minorEastAsia" w:hAnsiTheme="minorEastAsia" w:eastAsiaTheme="minorEastAsia"/>
                <w:color w:val="auto"/>
                <w:sz w:val="24"/>
                <w:highlight w:val="none"/>
              </w:rPr>
            </w:pPr>
          </w:p>
        </w:tc>
        <w:tc>
          <w:tcPr>
            <w:tcW w:w="551" w:type="pct"/>
          </w:tcPr>
          <w:p w14:paraId="72230BBA">
            <w:pPr>
              <w:rPr>
                <w:rFonts w:asciiTheme="minorEastAsia" w:hAnsiTheme="minorEastAsia" w:eastAsiaTheme="minorEastAsia"/>
                <w:color w:val="auto"/>
                <w:sz w:val="24"/>
                <w:highlight w:val="none"/>
              </w:rPr>
            </w:pPr>
          </w:p>
        </w:tc>
        <w:tc>
          <w:tcPr>
            <w:tcW w:w="393" w:type="pct"/>
          </w:tcPr>
          <w:p w14:paraId="5D86DC89">
            <w:pPr>
              <w:rPr>
                <w:rFonts w:asciiTheme="minorEastAsia" w:hAnsiTheme="minorEastAsia" w:eastAsiaTheme="minorEastAsia"/>
                <w:color w:val="auto"/>
                <w:sz w:val="24"/>
                <w:highlight w:val="none"/>
              </w:rPr>
            </w:pPr>
          </w:p>
        </w:tc>
      </w:tr>
      <w:tr w14:paraId="468D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064B87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777" w:type="pct"/>
          </w:tcPr>
          <w:p w14:paraId="7A1C0951">
            <w:pPr>
              <w:rPr>
                <w:rFonts w:asciiTheme="minorEastAsia" w:hAnsiTheme="minorEastAsia" w:eastAsiaTheme="minorEastAsia"/>
                <w:color w:val="auto"/>
                <w:sz w:val="24"/>
                <w:highlight w:val="none"/>
              </w:rPr>
            </w:pPr>
          </w:p>
        </w:tc>
        <w:tc>
          <w:tcPr>
            <w:tcW w:w="773" w:type="pct"/>
          </w:tcPr>
          <w:p w14:paraId="2E92D1DB">
            <w:pPr>
              <w:rPr>
                <w:rFonts w:asciiTheme="minorEastAsia" w:hAnsiTheme="minorEastAsia" w:eastAsiaTheme="minorEastAsia"/>
                <w:color w:val="auto"/>
                <w:sz w:val="24"/>
                <w:highlight w:val="none"/>
              </w:rPr>
            </w:pPr>
          </w:p>
        </w:tc>
        <w:tc>
          <w:tcPr>
            <w:tcW w:w="773" w:type="pct"/>
          </w:tcPr>
          <w:p w14:paraId="2C2CC0BD">
            <w:pPr>
              <w:rPr>
                <w:rFonts w:asciiTheme="minorEastAsia" w:hAnsiTheme="minorEastAsia" w:eastAsiaTheme="minorEastAsia"/>
                <w:color w:val="auto"/>
                <w:sz w:val="24"/>
                <w:highlight w:val="none"/>
              </w:rPr>
            </w:pPr>
          </w:p>
        </w:tc>
        <w:tc>
          <w:tcPr>
            <w:tcW w:w="394" w:type="pct"/>
          </w:tcPr>
          <w:p w14:paraId="3EB409CA">
            <w:pPr>
              <w:rPr>
                <w:rFonts w:asciiTheme="minorEastAsia" w:hAnsiTheme="minorEastAsia" w:eastAsiaTheme="minorEastAsia"/>
                <w:color w:val="auto"/>
                <w:sz w:val="24"/>
                <w:highlight w:val="none"/>
              </w:rPr>
            </w:pPr>
          </w:p>
        </w:tc>
        <w:tc>
          <w:tcPr>
            <w:tcW w:w="394" w:type="pct"/>
          </w:tcPr>
          <w:p w14:paraId="00E988EE">
            <w:pPr>
              <w:rPr>
                <w:rFonts w:asciiTheme="minorEastAsia" w:hAnsiTheme="minorEastAsia" w:eastAsiaTheme="minorEastAsia"/>
                <w:color w:val="auto"/>
                <w:sz w:val="24"/>
                <w:highlight w:val="none"/>
              </w:rPr>
            </w:pPr>
          </w:p>
        </w:tc>
        <w:tc>
          <w:tcPr>
            <w:tcW w:w="551" w:type="pct"/>
          </w:tcPr>
          <w:p w14:paraId="35E63825">
            <w:pPr>
              <w:rPr>
                <w:rFonts w:asciiTheme="minorEastAsia" w:hAnsiTheme="minorEastAsia" w:eastAsiaTheme="minorEastAsia"/>
                <w:color w:val="auto"/>
                <w:sz w:val="24"/>
                <w:highlight w:val="none"/>
              </w:rPr>
            </w:pPr>
          </w:p>
        </w:tc>
        <w:tc>
          <w:tcPr>
            <w:tcW w:w="551" w:type="pct"/>
          </w:tcPr>
          <w:p w14:paraId="3BF50377">
            <w:pPr>
              <w:rPr>
                <w:rFonts w:asciiTheme="minorEastAsia" w:hAnsiTheme="minorEastAsia" w:eastAsiaTheme="minorEastAsia"/>
                <w:color w:val="auto"/>
                <w:sz w:val="24"/>
                <w:highlight w:val="none"/>
              </w:rPr>
            </w:pPr>
          </w:p>
        </w:tc>
        <w:tc>
          <w:tcPr>
            <w:tcW w:w="393" w:type="pct"/>
          </w:tcPr>
          <w:p w14:paraId="7D61C24D">
            <w:pPr>
              <w:rPr>
                <w:rFonts w:asciiTheme="minorEastAsia" w:hAnsiTheme="minorEastAsia" w:eastAsiaTheme="minorEastAsia"/>
                <w:color w:val="auto"/>
                <w:sz w:val="24"/>
                <w:highlight w:val="none"/>
              </w:rPr>
            </w:pPr>
          </w:p>
        </w:tc>
      </w:tr>
      <w:tr w14:paraId="7B10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2FCBDB5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777" w:type="pct"/>
          </w:tcPr>
          <w:p w14:paraId="6725D714">
            <w:pPr>
              <w:rPr>
                <w:rFonts w:asciiTheme="minorEastAsia" w:hAnsiTheme="minorEastAsia" w:eastAsiaTheme="minorEastAsia"/>
                <w:color w:val="auto"/>
                <w:sz w:val="24"/>
                <w:highlight w:val="none"/>
              </w:rPr>
            </w:pPr>
          </w:p>
        </w:tc>
        <w:tc>
          <w:tcPr>
            <w:tcW w:w="773" w:type="pct"/>
          </w:tcPr>
          <w:p w14:paraId="03EEEEB4">
            <w:pPr>
              <w:rPr>
                <w:rFonts w:asciiTheme="minorEastAsia" w:hAnsiTheme="minorEastAsia" w:eastAsiaTheme="minorEastAsia"/>
                <w:color w:val="auto"/>
                <w:sz w:val="24"/>
                <w:highlight w:val="none"/>
              </w:rPr>
            </w:pPr>
          </w:p>
        </w:tc>
        <w:tc>
          <w:tcPr>
            <w:tcW w:w="773" w:type="pct"/>
          </w:tcPr>
          <w:p w14:paraId="31FFC1F2">
            <w:pPr>
              <w:rPr>
                <w:rFonts w:asciiTheme="minorEastAsia" w:hAnsiTheme="minorEastAsia" w:eastAsiaTheme="minorEastAsia"/>
                <w:color w:val="auto"/>
                <w:sz w:val="24"/>
                <w:highlight w:val="none"/>
              </w:rPr>
            </w:pPr>
          </w:p>
        </w:tc>
        <w:tc>
          <w:tcPr>
            <w:tcW w:w="394" w:type="pct"/>
          </w:tcPr>
          <w:p w14:paraId="2AC8F1C3">
            <w:pPr>
              <w:rPr>
                <w:rFonts w:asciiTheme="minorEastAsia" w:hAnsiTheme="minorEastAsia" w:eastAsiaTheme="minorEastAsia"/>
                <w:color w:val="auto"/>
                <w:sz w:val="24"/>
                <w:highlight w:val="none"/>
              </w:rPr>
            </w:pPr>
          </w:p>
        </w:tc>
        <w:tc>
          <w:tcPr>
            <w:tcW w:w="394" w:type="pct"/>
          </w:tcPr>
          <w:p w14:paraId="1CA7F8DF">
            <w:pPr>
              <w:rPr>
                <w:rFonts w:asciiTheme="minorEastAsia" w:hAnsiTheme="minorEastAsia" w:eastAsiaTheme="minorEastAsia"/>
                <w:color w:val="auto"/>
                <w:sz w:val="24"/>
                <w:highlight w:val="none"/>
              </w:rPr>
            </w:pPr>
          </w:p>
        </w:tc>
        <w:tc>
          <w:tcPr>
            <w:tcW w:w="551" w:type="pct"/>
          </w:tcPr>
          <w:p w14:paraId="40DFB491">
            <w:pPr>
              <w:rPr>
                <w:rFonts w:asciiTheme="minorEastAsia" w:hAnsiTheme="minorEastAsia" w:eastAsiaTheme="minorEastAsia"/>
                <w:color w:val="auto"/>
                <w:sz w:val="24"/>
                <w:highlight w:val="none"/>
              </w:rPr>
            </w:pPr>
          </w:p>
        </w:tc>
        <w:tc>
          <w:tcPr>
            <w:tcW w:w="551" w:type="pct"/>
          </w:tcPr>
          <w:p w14:paraId="4BA3D9F2">
            <w:pPr>
              <w:rPr>
                <w:rFonts w:asciiTheme="minorEastAsia" w:hAnsiTheme="minorEastAsia" w:eastAsiaTheme="minorEastAsia"/>
                <w:color w:val="auto"/>
                <w:sz w:val="24"/>
                <w:highlight w:val="none"/>
              </w:rPr>
            </w:pPr>
          </w:p>
        </w:tc>
        <w:tc>
          <w:tcPr>
            <w:tcW w:w="393" w:type="pct"/>
          </w:tcPr>
          <w:p w14:paraId="7C8B6CE1">
            <w:pPr>
              <w:rPr>
                <w:rFonts w:asciiTheme="minorEastAsia" w:hAnsiTheme="minorEastAsia" w:eastAsiaTheme="minorEastAsia"/>
                <w:color w:val="auto"/>
                <w:sz w:val="24"/>
                <w:highlight w:val="none"/>
              </w:rPr>
            </w:pPr>
          </w:p>
        </w:tc>
      </w:tr>
      <w:tr w14:paraId="0024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B00695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777" w:type="pct"/>
          </w:tcPr>
          <w:p w14:paraId="2BCDF3BF">
            <w:pPr>
              <w:rPr>
                <w:rFonts w:asciiTheme="minorEastAsia" w:hAnsiTheme="minorEastAsia" w:eastAsiaTheme="minorEastAsia"/>
                <w:color w:val="auto"/>
                <w:sz w:val="24"/>
                <w:highlight w:val="none"/>
              </w:rPr>
            </w:pPr>
          </w:p>
        </w:tc>
        <w:tc>
          <w:tcPr>
            <w:tcW w:w="773" w:type="pct"/>
          </w:tcPr>
          <w:p w14:paraId="73EBBD03">
            <w:pPr>
              <w:rPr>
                <w:rFonts w:asciiTheme="minorEastAsia" w:hAnsiTheme="minorEastAsia" w:eastAsiaTheme="minorEastAsia"/>
                <w:color w:val="auto"/>
                <w:sz w:val="24"/>
                <w:highlight w:val="none"/>
              </w:rPr>
            </w:pPr>
          </w:p>
        </w:tc>
        <w:tc>
          <w:tcPr>
            <w:tcW w:w="773" w:type="pct"/>
          </w:tcPr>
          <w:p w14:paraId="106868F5">
            <w:pPr>
              <w:rPr>
                <w:rFonts w:asciiTheme="minorEastAsia" w:hAnsiTheme="minorEastAsia" w:eastAsiaTheme="minorEastAsia"/>
                <w:color w:val="auto"/>
                <w:sz w:val="24"/>
                <w:highlight w:val="none"/>
              </w:rPr>
            </w:pPr>
          </w:p>
        </w:tc>
        <w:tc>
          <w:tcPr>
            <w:tcW w:w="394" w:type="pct"/>
          </w:tcPr>
          <w:p w14:paraId="652D622A">
            <w:pPr>
              <w:rPr>
                <w:rFonts w:asciiTheme="minorEastAsia" w:hAnsiTheme="minorEastAsia" w:eastAsiaTheme="minorEastAsia"/>
                <w:color w:val="auto"/>
                <w:sz w:val="24"/>
                <w:highlight w:val="none"/>
              </w:rPr>
            </w:pPr>
          </w:p>
        </w:tc>
        <w:tc>
          <w:tcPr>
            <w:tcW w:w="394" w:type="pct"/>
          </w:tcPr>
          <w:p w14:paraId="1C7A886C">
            <w:pPr>
              <w:rPr>
                <w:rFonts w:asciiTheme="minorEastAsia" w:hAnsiTheme="minorEastAsia" w:eastAsiaTheme="minorEastAsia"/>
                <w:color w:val="auto"/>
                <w:sz w:val="24"/>
                <w:highlight w:val="none"/>
              </w:rPr>
            </w:pPr>
          </w:p>
        </w:tc>
        <w:tc>
          <w:tcPr>
            <w:tcW w:w="551" w:type="pct"/>
          </w:tcPr>
          <w:p w14:paraId="48E42099">
            <w:pPr>
              <w:rPr>
                <w:rFonts w:asciiTheme="minorEastAsia" w:hAnsiTheme="minorEastAsia" w:eastAsiaTheme="minorEastAsia"/>
                <w:color w:val="auto"/>
                <w:sz w:val="24"/>
                <w:highlight w:val="none"/>
              </w:rPr>
            </w:pPr>
          </w:p>
        </w:tc>
        <w:tc>
          <w:tcPr>
            <w:tcW w:w="551" w:type="pct"/>
          </w:tcPr>
          <w:p w14:paraId="17E28FFC">
            <w:pPr>
              <w:rPr>
                <w:rFonts w:asciiTheme="minorEastAsia" w:hAnsiTheme="minorEastAsia" w:eastAsiaTheme="minorEastAsia"/>
                <w:color w:val="auto"/>
                <w:sz w:val="24"/>
                <w:highlight w:val="none"/>
              </w:rPr>
            </w:pPr>
          </w:p>
        </w:tc>
        <w:tc>
          <w:tcPr>
            <w:tcW w:w="393" w:type="pct"/>
          </w:tcPr>
          <w:p w14:paraId="25F28A29">
            <w:pPr>
              <w:rPr>
                <w:rFonts w:asciiTheme="minorEastAsia" w:hAnsiTheme="minorEastAsia" w:eastAsiaTheme="minorEastAsia"/>
                <w:color w:val="auto"/>
                <w:sz w:val="24"/>
                <w:highlight w:val="none"/>
              </w:rPr>
            </w:pPr>
          </w:p>
        </w:tc>
      </w:tr>
      <w:tr w14:paraId="3DC8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291289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777" w:type="pct"/>
          </w:tcPr>
          <w:p w14:paraId="4340895F">
            <w:pPr>
              <w:rPr>
                <w:rFonts w:asciiTheme="minorEastAsia" w:hAnsiTheme="minorEastAsia" w:eastAsiaTheme="minorEastAsia"/>
                <w:color w:val="auto"/>
                <w:sz w:val="24"/>
                <w:highlight w:val="none"/>
              </w:rPr>
            </w:pPr>
          </w:p>
        </w:tc>
        <w:tc>
          <w:tcPr>
            <w:tcW w:w="773" w:type="pct"/>
          </w:tcPr>
          <w:p w14:paraId="1B5A5373">
            <w:pPr>
              <w:rPr>
                <w:rFonts w:asciiTheme="minorEastAsia" w:hAnsiTheme="minorEastAsia" w:eastAsiaTheme="minorEastAsia"/>
                <w:color w:val="auto"/>
                <w:sz w:val="24"/>
                <w:highlight w:val="none"/>
              </w:rPr>
            </w:pPr>
          </w:p>
        </w:tc>
        <w:tc>
          <w:tcPr>
            <w:tcW w:w="773" w:type="pct"/>
          </w:tcPr>
          <w:p w14:paraId="6830BCFF">
            <w:pPr>
              <w:rPr>
                <w:rFonts w:asciiTheme="minorEastAsia" w:hAnsiTheme="minorEastAsia" w:eastAsiaTheme="minorEastAsia"/>
                <w:color w:val="auto"/>
                <w:sz w:val="24"/>
                <w:highlight w:val="none"/>
              </w:rPr>
            </w:pPr>
          </w:p>
        </w:tc>
        <w:tc>
          <w:tcPr>
            <w:tcW w:w="394" w:type="pct"/>
          </w:tcPr>
          <w:p w14:paraId="7CFABC16">
            <w:pPr>
              <w:rPr>
                <w:rFonts w:asciiTheme="minorEastAsia" w:hAnsiTheme="minorEastAsia" w:eastAsiaTheme="minorEastAsia"/>
                <w:color w:val="auto"/>
                <w:sz w:val="24"/>
                <w:highlight w:val="none"/>
              </w:rPr>
            </w:pPr>
          </w:p>
        </w:tc>
        <w:tc>
          <w:tcPr>
            <w:tcW w:w="394" w:type="pct"/>
          </w:tcPr>
          <w:p w14:paraId="23BF7F5E">
            <w:pPr>
              <w:rPr>
                <w:rFonts w:asciiTheme="minorEastAsia" w:hAnsiTheme="minorEastAsia" w:eastAsiaTheme="minorEastAsia"/>
                <w:color w:val="auto"/>
                <w:sz w:val="24"/>
                <w:highlight w:val="none"/>
              </w:rPr>
            </w:pPr>
          </w:p>
        </w:tc>
        <w:tc>
          <w:tcPr>
            <w:tcW w:w="551" w:type="pct"/>
          </w:tcPr>
          <w:p w14:paraId="014D317B">
            <w:pPr>
              <w:rPr>
                <w:rFonts w:asciiTheme="minorEastAsia" w:hAnsiTheme="minorEastAsia" w:eastAsiaTheme="minorEastAsia"/>
                <w:color w:val="auto"/>
                <w:sz w:val="24"/>
                <w:highlight w:val="none"/>
              </w:rPr>
            </w:pPr>
          </w:p>
        </w:tc>
        <w:tc>
          <w:tcPr>
            <w:tcW w:w="551" w:type="pct"/>
          </w:tcPr>
          <w:p w14:paraId="338EE1BD">
            <w:pPr>
              <w:rPr>
                <w:rFonts w:asciiTheme="minorEastAsia" w:hAnsiTheme="minorEastAsia" w:eastAsiaTheme="minorEastAsia"/>
                <w:color w:val="auto"/>
                <w:sz w:val="24"/>
                <w:highlight w:val="none"/>
              </w:rPr>
            </w:pPr>
          </w:p>
        </w:tc>
        <w:tc>
          <w:tcPr>
            <w:tcW w:w="393" w:type="pct"/>
          </w:tcPr>
          <w:p w14:paraId="0E87D9B1">
            <w:pPr>
              <w:rPr>
                <w:rFonts w:asciiTheme="minorEastAsia" w:hAnsiTheme="minorEastAsia" w:eastAsiaTheme="minorEastAsia"/>
                <w:color w:val="auto"/>
                <w:sz w:val="24"/>
                <w:highlight w:val="none"/>
              </w:rPr>
            </w:pPr>
          </w:p>
        </w:tc>
      </w:tr>
      <w:tr w14:paraId="1427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D47AF9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777" w:type="pct"/>
          </w:tcPr>
          <w:p w14:paraId="0CA306FD">
            <w:pPr>
              <w:rPr>
                <w:rFonts w:asciiTheme="minorEastAsia" w:hAnsiTheme="minorEastAsia" w:eastAsiaTheme="minorEastAsia"/>
                <w:color w:val="auto"/>
                <w:sz w:val="24"/>
                <w:highlight w:val="none"/>
              </w:rPr>
            </w:pPr>
          </w:p>
        </w:tc>
        <w:tc>
          <w:tcPr>
            <w:tcW w:w="773" w:type="pct"/>
          </w:tcPr>
          <w:p w14:paraId="4B7D3F04">
            <w:pPr>
              <w:rPr>
                <w:rFonts w:asciiTheme="minorEastAsia" w:hAnsiTheme="minorEastAsia" w:eastAsiaTheme="minorEastAsia"/>
                <w:color w:val="auto"/>
                <w:sz w:val="24"/>
                <w:highlight w:val="none"/>
              </w:rPr>
            </w:pPr>
          </w:p>
        </w:tc>
        <w:tc>
          <w:tcPr>
            <w:tcW w:w="773" w:type="pct"/>
          </w:tcPr>
          <w:p w14:paraId="0B8EFD63">
            <w:pPr>
              <w:rPr>
                <w:rFonts w:asciiTheme="minorEastAsia" w:hAnsiTheme="minorEastAsia" w:eastAsiaTheme="minorEastAsia"/>
                <w:color w:val="auto"/>
                <w:sz w:val="24"/>
                <w:highlight w:val="none"/>
              </w:rPr>
            </w:pPr>
          </w:p>
        </w:tc>
        <w:tc>
          <w:tcPr>
            <w:tcW w:w="394" w:type="pct"/>
          </w:tcPr>
          <w:p w14:paraId="4FDF2EE8">
            <w:pPr>
              <w:rPr>
                <w:rFonts w:asciiTheme="minorEastAsia" w:hAnsiTheme="minorEastAsia" w:eastAsiaTheme="minorEastAsia"/>
                <w:color w:val="auto"/>
                <w:sz w:val="24"/>
                <w:highlight w:val="none"/>
              </w:rPr>
            </w:pPr>
          </w:p>
        </w:tc>
        <w:tc>
          <w:tcPr>
            <w:tcW w:w="394" w:type="pct"/>
          </w:tcPr>
          <w:p w14:paraId="7F49FCFE">
            <w:pPr>
              <w:rPr>
                <w:rFonts w:asciiTheme="minorEastAsia" w:hAnsiTheme="minorEastAsia" w:eastAsiaTheme="minorEastAsia"/>
                <w:color w:val="auto"/>
                <w:sz w:val="24"/>
                <w:highlight w:val="none"/>
              </w:rPr>
            </w:pPr>
          </w:p>
        </w:tc>
        <w:tc>
          <w:tcPr>
            <w:tcW w:w="551" w:type="pct"/>
          </w:tcPr>
          <w:p w14:paraId="5DF97FBE">
            <w:pPr>
              <w:rPr>
                <w:rFonts w:asciiTheme="minorEastAsia" w:hAnsiTheme="minorEastAsia" w:eastAsiaTheme="minorEastAsia"/>
                <w:color w:val="auto"/>
                <w:sz w:val="24"/>
                <w:highlight w:val="none"/>
              </w:rPr>
            </w:pPr>
          </w:p>
        </w:tc>
        <w:tc>
          <w:tcPr>
            <w:tcW w:w="551" w:type="pct"/>
          </w:tcPr>
          <w:p w14:paraId="3ADE62D3">
            <w:pPr>
              <w:rPr>
                <w:rFonts w:asciiTheme="minorEastAsia" w:hAnsiTheme="minorEastAsia" w:eastAsiaTheme="minorEastAsia"/>
                <w:color w:val="auto"/>
                <w:sz w:val="24"/>
                <w:highlight w:val="none"/>
              </w:rPr>
            </w:pPr>
          </w:p>
        </w:tc>
        <w:tc>
          <w:tcPr>
            <w:tcW w:w="393" w:type="pct"/>
          </w:tcPr>
          <w:p w14:paraId="2E979FA1">
            <w:pPr>
              <w:rPr>
                <w:rFonts w:asciiTheme="minorEastAsia" w:hAnsiTheme="minorEastAsia" w:eastAsiaTheme="minorEastAsia"/>
                <w:color w:val="auto"/>
                <w:sz w:val="24"/>
                <w:highlight w:val="none"/>
              </w:rPr>
            </w:pPr>
          </w:p>
        </w:tc>
      </w:tr>
      <w:tr w14:paraId="3855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F57240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777" w:type="pct"/>
          </w:tcPr>
          <w:p w14:paraId="5DE30907">
            <w:pPr>
              <w:rPr>
                <w:rFonts w:asciiTheme="minorEastAsia" w:hAnsiTheme="minorEastAsia" w:eastAsiaTheme="minorEastAsia"/>
                <w:color w:val="auto"/>
                <w:sz w:val="24"/>
                <w:highlight w:val="none"/>
              </w:rPr>
            </w:pPr>
          </w:p>
        </w:tc>
        <w:tc>
          <w:tcPr>
            <w:tcW w:w="773" w:type="pct"/>
          </w:tcPr>
          <w:p w14:paraId="699899CF">
            <w:pPr>
              <w:rPr>
                <w:rFonts w:asciiTheme="minorEastAsia" w:hAnsiTheme="minorEastAsia" w:eastAsiaTheme="minorEastAsia"/>
                <w:color w:val="auto"/>
                <w:sz w:val="24"/>
                <w:highlight w:val="none"/>
              </w:rPr>
            </w:pPr>
          </w:p>
        </w:tc>
        <w:tc>
          <w:tcPr>
            <w:tcW w:w="773" w:type="pct"/>
          </w:tcPr>
          <w:p w14:paraId="181661B8">
            <w:pPr>
              <w:rPr>
                <w:rFonts w:asciiTheme="minorEastAsia" w:hAnsiTheme="minorEastAsia" w:eastAsiaTheme="minorEastAsia"/>
                <w:color w:val="auto"/>
                <w:sz w:val="24"/>
                <w:highlight w:val="none"/>
              </w:rPr>
            </w:pPr>
          </w:p>
        </w:tc>
        <w:tc>
          <w:tcPr>
            <w:tcW w:w="394" w:type="pct"/>
          </w:tcPr>
          <w:p w14:paraId="3D405D2D">
            <w:pPr>
              <w:rPr>
                <w:rFonts w:asciiTheme="minorEastAsia" w:hAnsiTheme="minorEastAsia" w:eastAsiaTheme="minorEastAsia"/>
                <w:color w:val="auto"/>
                <w:sz w:val="24"/>
                <w:highlight w:val="none"/>
              </w:rPr>
            </w:pPr>
          </w:p>
        </w:tc>
        <w:tc>
          <w:tcPr>
            <w:tcW w:w="394" w:type="pct"/>
          </w:tcPr>
          <w:p w14:paraId="012511BF">
            <w:pPr>
              <w:rPr>
                <w:rFonts w:asciiTheme="minorEastAsia" w:hAnsiTheme="minorEastAsia" w:eastAsiaTheme="minorEastAsia"/>
                <w:color w:val="auto"/>
                <w:sz w:val="24"/>
                <w:highlight w:val="none"/>
              </w:rPr>
            </w:pPr>
          </w:p>
        </w:tc>
        <w:tc>
          <w:tcPr>
            <w:tcW w:w="551" w:type="pct"/>
          </w:tcPr>
          <w:p w14:paraId="43CC4FE2">
            <w:pPr>
              <w:rPr>
                <w:rFonts w:asciiTheme="minorEastAsia" w:hAnsiTheme="minorEastAsia" w:eastAsiaTheme="minorEastAsia"/>
                <w:color w:val="auto"/>
                <w:sz w:val="24"/>
                <w:highlight w:val="none"/>
              </w:rPr>
            </w:pPr>
          </w:p>
        </w:tc>
        <w:tc>
          <w:tcPr>
            <w:tcW w:w="551" w:type="pct"/>
          </w:tcPr>
          <w:p w14:paraId="53AB527E">
            <w:pPr>
              <w:rPr>
                <w:rFonts w:asciiTheme="minorEastAsia" w:hAnsiTheme="minorEastAsia" w:eastAsiaTheme="minorEastAsia"/>
                <w:color w:val="auto"/>
                <w:sz w:val="24"/>
                <w:highlight w:val="none"/>
              </w:rPr>
            </w:pPr>
          </w:p>
        </w:tc>
        <w:tc>
          <w:tcPr>
            <w:tcW w:w="393" w:type="pct"/>
          </w:tcPr>
          <w:p w14:paraId="7BB171A1">
            <w:pPr>
              <w:rPr>
                <w:rFonts w:asciiTheme="minorEastAsia" w:hAnsiTheme="minorEastAsia" w:eastAsiaTheme="minorEastAsia"/>
                <w:color w:val="auto"/>
                <w:sz w:val="24"/>
                <w:highlight w:val="none"/>
              </w:rPr>
            </w:pPr>
          </w:p>
        </w:tc>
      </w:tr>
      <w:tr w14:paraId="2704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68B89C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777" w:type="pct"/>
          </w:tcPr>
          <w:p w14:paraId="5D1565BE">
            <w:pPr>
              <w:rPr>
                <w:rFonts w:asciiTheme="minorEastAsia" w:hAnsiTheme="minorEastAsia" w:eastAsiaTheme="minorEastAsia"/>
                <w:color w:val="auto"/>
                <w:sz w:val="24"/>
                <w:highlight w:val="none"/>
              </w:rPr>
            </w:pPr>
          </w:p>
        </w:tc>
        <w:tc>
          <w:tcPr>
            <w:tcW w:w="773" w:type="pct"/>
          </w:tcPr>
          <w:p w14:paraId="108FB6AB">
            <w:pPr>
              <w:rPr>
                <w:rFonts w:asciiTheme="minorEastAsia" w:hAnsiTheme="minorEastAsia" w:eastAsiaTheme="minorEastAsia"/>
                <w:color w:val="auto"/>
                <w:sz w:val="24"/>
                <w:highlight w:val="none"/>
              </w:rPr>
            </w:pPr>
          </w:p>
        </w:tc>
        <w:tc>
          <w:tcPr>
            <w:tcW w:w="773" w:type="pct"/>
          </w:tcPr>
          <w:p w14:paraId="007B00EE">
            <w:pPr>
              <w:rPr>
                <w:rFonts w:asciiTheme="minorEastAsia" w:hAnsiTheme="minorEastAsia" w:eastAsiaTheme="minorEastAsia"/>
                <w:color w:val="auto"/>
                <w:sz w:val="24"/>
                <w:highlight w:val="none"/>
              </w:rPr>
            </w:pPr>
          </w:p>
        </w:tc>
        <w:tc>
          <w:tcPr>
            <w:tcW w:w="394" w:type="pct"/>
          </w:tcPr>
          <w:p w14:paraId="6C616D2B">
            <w:pPr>
              <w:rPr>
                <w:rFonts w:asciiTheme="minorEastAsia" w:hAnsiTheme="minorEastAsia" w:eastAsiaTheme="minorEastAsia"/>
                <w:color w:val="auto"/>
                <w:sz w:val="24"/>
                <w:highlight w:val="none"/>
              </w:rPr>
            </w:pPr>
          </w:p>
        </w:tc>
        <w:tc>
          <w:tcPr>
            <w:tcW w:w="394" w:type="pct"/>
          </w:tcPr>
          <w:p w14:paraId="2604176C">
            <w:pPr>
              <w:rPr>
                <w:rFonts w:asciiTheme="minorEastAsia" w:hAnsiTheme="minorEastAsia" w:eastAsiaTheme="minorEastAsia"/>
                <w:color w:val="auto"/>
                <w:sz w:val="24"/>
                <w:highlight w:val="none"/>
              </w:rPr>
            </w:pPr>
          </w:p>
        </w:tc>
        <w:tc>
          <w:tcPr>
            <w:tcW w:w="551" w:type="pct"/>
          </w:tcPr>
          <w:p w14:paraId="66B0F191">
            <w:pPr>
              <w:rPr>
                <w:rFonts w:asciiTheme="minorEastAsia" w:hAnsiTheme="minorEastAsia" w:eastAsiaTheme="minorEastAsia"/>
                <w:color w:val="auto"/>
                <w:sz w:val="24"/>
                <w:highlight w:val="none"/>
              </w:rPr>
            </w:pPr>
          </w:p>
        </w:tc>
        <w:tc>
          <w:tcPr>
            <w:tcW w:w="551" w:type="pct"/>
          </w:tcPr>
          <w:p w14:paraId="7F0BDD06">
            <w:pPr>
              <w:rPr>
                <w:rFonts w:asciiTheme="minorEastAsia" w:hAnsiTheme="minorEastAsia" w:eastAsiaTheme="minorEastAsia"/>
                <w:color w:val="auto"/>
                <w:sz w:val="24"/>
                <w:highlight w:val="none"/>
              </w:rPr>
            </w:pPr>
          </w:p>
        </w:tc>
        <w:tc>
          <w:tcPr>
            <w:tcW w:w="393" w:type="pct"/>
          </w:tcPr>
          <w:p w14:paraId="6DAD8EE1">
            <w:pPr>
              <w:rPr>
                <w:rFonts w:asciiTheme="minorEastAsia" w:hAnsiTheme="minorEastAsia" w:eastAsiaTheme="minorEastAsia"/>
                <w:color w:val="auto"/>
                <w:sz w:val="24"/>
                <w:highlight w:val="none"/>
              </w:rPr>
            </w:pPr>
          </w:p>
        </w:tc>
      </w:tr>
      <w:tr w14:paraId="0E20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6C3338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777" w:type="pct"/>
          </w:tcPr>
          <w:p w14:paraId="27A26515">
            <w:pPr>
              <w:rPr>
                <w:rFonts w:asciiTheme="minorEastAsia" w:hAnsiTheme="minorEastAsia" w:eastAsiaTheme="minorEastAsia"/>
                <w:color w:val="auto"/>
                <w:sz w:val="24"/>
                <w:highlight w:val="none"/>
              </w:rPr>
            </w:pPr>
          </w:p>
        </w:tc>
        <w:tc>
          <w:tcPr>
            <w:tcW w:w="773" w:type="pct"/>
          </w:tcPr>
          <w:p w14:paraId="7E158D51">
            <w:pPr>
              <w:rPr>
                <w:rFonts w:asciiTheme="minorEastAsia" w:hAnsiTheme="minorEastAsia" w:eastAsiaTheme="minorEastAsia"/>
                <w:color w:val="auto"/>
                <w:sz w:val="24"/>
                <w:highlight w:val="none"/>
              </w:rPr>
            </w:pPr>
          </w:p>
        </w:tc>
        <w:tc>
          <w:tcPr>
            <w:tcW w:w="773" w:type="pct"/>
          </w:tcPr>
          <w:p w14:paraId="0AFEE52B">
            <w:pPr>
              <w:rPr>
                <w:rFonts w:asciiTheme="minorEastAsia" w:hAnsiTheme="minorEastAsia" w:eastAsiaTheme="minorEastAsia"/>
                <w:color w:val="auto"/>
                <w:sz w:val="24"/>
                <w:highlight w:val="none"/>
              </w:rPr>
            </w:pPr>
          </w:p>
        </w:tc>
        <w:tc>
          <w:tcPr>
            <w:tcW w:w="394" w:type="pct"/>
          </w:tcPr>
          <w:p w14:paraId="6795552E">
            <w:pPr>
              <w:rPr>
                <w:rFonts w:asciiTheme="minorEastAsia" w:hAnsiTheme="minorEastAsia" w:eastAsiaTheme="minorEastAsia"/>
                <w:color w:val="auto"/>
                <w:sz w:val="24"/>
                <w:highlight w:val="none"/>
              </w:rPr>
            </w:pPr>
          </w:p>
        </w:tc>
        <w:tc>
          <w:tcPr>
            <w:tcW w:w="394" w:type="pct"/>
          </w:tcPr>
          <w:p w14:paraId="302DAFA5">
            <w:pPr>
              <w:rPr>
                <w:rFonts w:asciiTheme="minorEastAsia" w:hAnsiTheme="minorEastAsia" w:eastAsiaTheme="minorEastAsia"/>
                <w:color w:val="auto"/>
                <w:sz w:val="24"/>
                <w:highlight w:val="none"/>
              </w:rPr>
            </w:pPr>
          </w:p>
        </w:tc>
        <w:tc>
          <w:tcPr>
            <w:tcW w:w="551" w:type="pct"/>
          </w:tcPr>
          <w:p w14:paraId="7165A88E">
            <w:pPr>
              <w:rPr>
                <w:rFonts w:asciiTheme="minorEastAsia" w:hAnsiTheme="minorEastAsia" w:eastAsiaTheme="minorEastAsia"/>
                <w:color w:val="auto"/>
                <w:sz w:val="24"/>
                <w:highlight w:val="none"/>
              </w:rPr>
            </w:pPr>
          </w:p>
        </w:tc>
        <w:tc>
          <w:tcPr>
            <w:tcW w:w="551" w:type="pct"/>
          </w:tcPr>
          <w:p w14:paraId="5902D83F">
            <w:pPr>
              <w:rPr>
                <w:rFonts w:asciiTheme="minorEastAsia" w:hAnsiTheme="minorEastAsia" w:eastAsiaTheme="minorEastAsia"/>
                <w:color w:val="auto"/>
                <w:sz w:val="24"/>
                <w:highlight w:val="none"/>
              </w:rPr>
            </w:pPr>
          </w:p>
        </w:tc>
        <w:tc>
          <w:tcPr>
            <w:tcW w:w="393" w:type="pct"/>
          </w:tcPr>
          <w:p w14:paraId="6AB5DFE4">
            <w:pPr>
              <w:rPr>
                <w:rFonts w:asciiTheme="minorEastAsia" w:hAnsiTheme="minorEastAsia" w:eastAsiaTheme="minorEastAsia"/>
                <w:color w:val="auto"/>
                <w:sz w:val="24"/>
                <w:highlight w:val="none"/>
              </w:rPr>
            </w:pPr>
          </w:p>
        </w:tc>
      </w:tr>
      <w:tr w14:paraId="3809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628FCC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777" w:type="pct"/>
          </w:tcPr>
          <w:p w14:paraId="1AC5C443">
            <w:pPr>
              <w:rPr>
                <w:rFonts w:asciiTheme="minorEastAsia" w:hAnsiTheme="minorEastAsia" w:eastAsiaTheme="minorEastAsia"/>
                <w:color w:val="auto"/>
                <w:sz w:val="24"/>
                <w:highlight w:val="none"/>
              </w:rPr>
            </w:pPr>
          </w:p>
        </w:tc>
        <w:tc>
          <w:tcPr>
            <w:tcW w:w="773" w:type="pct"/>
          </w:tcPr>
          <w:p w14:paraId="5BE8ED00">
            <w:pPr>
              <w:rPr>
                <w:rFonts w:asciiTheme="minorEastAsia" w:hAnsiTheme="minorEastAsia" w:eastAsiaTheme="minorEastAsia"/>
                <w:color w:val="auto"/>
                <w:sz w:val="24"/>
                <w:highlight w:val="none"/>
              </w:rPr>
            </w:pPr>
          </w:p>
        </w:tc>
        <w:tc>
          <w:tcPr>
            <w:tcW w:w="773" w:type="pct"/>
          </w:tcPr>
          <w:p w14:paraId="4BFD1CCC">
            <w:pPr>
              <w:rPr>
                <w:rFonts w:asciiTheme="minorEastAsia" w:hAnsiTheme="minorEastAsia" w:eastAsiaTheme="minorEastAsia"/>
                <w:color w:val="auto"/>
                <w:sz w:val="24"/>
                <w:highlight w:val="none"/>
              </w:rPr>
            </w:pPr>
          </w:p>
        </w:tc>
        <w:tc>
          <w:tcPr>
            <w:tcW w:w="394" w:type="pct"/>
          </w:tcPr>
          <w:p w14:paraId="223B29F2">
            <w:pPr>
              <w:rPr>
                <w:rFonts w:asciiTheme="minorEastAsia" w:hAnsiTheme="minorEastAsia" w:eastAsiaTheme="minorEastAsia"/>
                <w:color w:val="auto"/>
                <w:sz w:val="24"/>
                <w:highlight w:val="none"/>
              </w:rPr>
            </w:pPr>
          </w:p>
        </w:tc>
        <w:tc>
          <w:tcPr>
            <w:tcW w:w="394" w:type="pct"/>
          </w:tcPr>
          <w:p w14:paraId="4EA61E0C">
            <w:pPr>
              <w:rPr>
                <w:rFonts w:asciiTheme="minorEastAsia" w:hAnsiTheme="minorEastAsia" w:eastAsiaTheme="minorEastAsia"/>
                <w:color w:val="auto"/>
                <w:sz w:val="24"/>
                <w:highlight w:val="none"/>
              </w:rPr>
            </w:pPr>
          </w:p>
        </w:tc>
        <w:tc>
          <w:tcPr>
            <w:tcW w:w="551" w:type="pct"/>
          </w:tcPr>
          <w:p w14:paraId="5CFCB7BE">
            <w:pPr>
              <w:rPr>
                <w:rFonts w:asciiTheme="minorEastAsia" w:hAnsiTheme="minorEastAsia" w:eastAsiaTheme="minorEastAsia"/>
                <w:color w:val="auto"/>
                <w:sz w:val="24"/>
                <w:highlight w:val="none"/>
              </w:rPr>
            </w:pPr>
          </w:p>
        </w:tc>
        <w:tc>
          <w:tcPr>
            <w:tcW w:w="551" w:type="pct"/>
          </w:tcPr>
          <w:p w14:paraId="61858314">
            <w:pPr>
              <w:rPr>
                <w:rFonts w:asciiTheme="minorEastAsia" w:hAnsiTheme="minorEastAsia" w:eastAsiaTheme="minorEastAsia"/>
                <w:color w:val="auto"/>
                <w:sz w:val="24"/>
                <w:highlight w:val="none"/>
              </w:rPr>
            </w:pPr>
          </w:p>
        </w:tc>
        <w:tc>
          <w:tcPr>
            <w:tcW w:w="393" w:type="pct"/>
          </w:tcPr>
          <w:p w14:paraId="63451A22">
            <w:pPr>
              <w:rPr>
                <w:rFonts w:asciiTheme="minorEastAsia" w:hAnsiTheme="minorEastAsia" w:eastAsiaTheme="minorEastAsia"/>
                <w:color w:val="auto"/>
                <w:sz w:val="24"/>
                <w:highlight w:val="none"/>
              </w:rPr>
            </w:pPr>
          </w:p>
        </w:tc>
      </w:tr>
      <w:tr w14:paraId="1153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B5F6EF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777" w:type="pct"/>
          </w:tcPr>
          <w:p w14:paraId="5C95E2FE">
            <w:pPr>
              <w:rPr>
                <w:rFonts w:asciiTheme="minorEastAsia" w:hAnsiTheme="minorEastAsia" w:eastAsiaTheme="minorEastAsia"/>
                <w:color w:val="auto"/>
                <w:sz w:val="24"/>
                <w:highlight w:val="none"/>
              </w:rPr>
            </w:pPr>
          </w:p>
        </w:tc>
        <w:tc>
          <w:tcPr>
            <w:tcW w:w="773" w:type="pct"/>
          </w:tcPr>
          <w:p w14:paraId="79532CF1">
            <w:pPr>
              <w:rPr>
                <w:rFonts w:asciiTheme="minorEastAsia" w:hAnsiTheme="minorEastAsia" w:eastAsiaTheme="minorEastAsia"/>
                <w:color w:val="auto"/>
                <w:sz w:val="24"/>
                <w:highlight w:val="none"/>
              </w:rPr>
            </w:pPr>
          </w:p>
        </w:tc>
        <w:tc>
          <w:tcPr>
            <w:tcW w:w="773" w:type="pct"/>
          </w:tcPr>
          <w:p w14:paraId="2CCC773C">
            <w:pPr>
              <w:rPr>
                <w:rFonts w:asciiTheme="minorEastAsia" w:hAnsiTheme="minorEastAsia" w:eastAsiaTheme="minorEastAsia"/>
                <w:color w:val="auto"/>
                <w:sz w:val="24"/>
                <w:highlight w:val="none"/>
              </w:rPr>
            </w:pPr>
          </w:p>
        </w:tc>
        <w:tc>
          <w:tcPr>
            <w:tcW w:w="394" w:type="pct"/>
          </w:tcPr>
          <w:p w14:paraId="447C5414">
            <w:pPr>
              <w:rPr>
                <w:rFonts w:asciiTheme="minorEastAsia" w:hAnsiTheme="minorEastAsia" w:eastAsiaTheme="minorEastAsia"/>
                <w:color w:val="auto"/>
                <w:sz w:val="24"/>
                <w:highlight w:val="none"/>
              </w:rPr>
            </w:pPr>
          </w:p>
        </w:tc>
        <w:tc>
          <w:tcPr>
            <w:tcW w:w="394" w:type="pct"/>
          </w:tcPr>
          <w:p w14:paraId="44D415D6">
            <w:pPr>
              <w:rPr>
                <w:rFonts w:asciiTheme="minorEastAsia" w:hAnsiTheme="minorEastAsia" w:eastAsiaTheme="minorEastAsia"/>
                <w:color w:val="auto"/>
                <w:sz w:val="24"/>
                <w:highlight w:val="none"/>
              </w:rPr>
            </w:pPr>
          </w:p>
        </w:tc>
        <w:tc>
          <w:tcPr>
            <w:tcW w:w="551" w:type="pct"/>
          </w:tcPr>
          <w:p w14:paraId="6BA43FF6">
            <w:pPr>
              <w:rPr>
                <w:rFonts w:asciiTheme="minorEastAsia" w:hAnsiTheme="minorEastAsia" w:eastAsiaTheme="minorEastAsia"/>
                <w:color w:val="auto"/>
                <w:sz w:val="24"/>
                <w:highlight w:val="none"/>
              </w:rPr>
            </w:pPr>
          </w:p>
        </w:tc>
        <w:tc>
          <w:tcPr>
            <w:tcW w:w="551" w:type="pct"/>
          </w:tcPr>
          <w:p w14:paraId="7A1FFEA3">
            <w:pPr>
              <w:rPr>
                <w:rFonts w:asciiTheme="minorEastAsia" w:hAnsiTheme="minorEastAsia" w:eastAsiaTheme="minorEastAsia"/>
                <w:color w:val="auto"/>
                <w:sz w:val="24"/>
                <w:highlight w:val="none"/>
              </w:rPr>
            </w:pPr>
          </w:p>
        </w:tc>
        <w:tc>
          <w:tcPr>
            <w:tcW w:w="393" w:type="pct"/>
          </w:tcPr>
          <w:p w14:paraId="23241BAA">
            <w:pPr>
              <w:rPr>
                <w:rFonts w:asciiTheme="minorEastAsia" w:hAnsiTheme="minorEastAsia" w:eastAsiaTheme="minorEastAsia"/>
                <w:color w:val="auto"/>
                <w:sz w:val="24"/>
                <w:highlight w:val="none"/>
              </w:rPr>
            </w:pPr>
          </w:p>
        </w:tc>
      </w:tr>
      <w:tr w14:paraId="4648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04D31F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777" w:type="pct"/>
          </w:tcPr>
          <w:p w14:paraId="50CA685D">
            <w:pPr>
              <w:rPr>
                <w:rFonts w:asciiTheme="minorEastAsia" w:hAnsiTheme="minorEastAsia" w:eastAsiaTheme="minorEastAsia"/>
                <w:color w:val="auto"/>
                <w:sz w:val="24"/>
                <w:highlight w:val="none"/>
              </w:rPr>
            </w:pPr>
          </w:p>
        </w:tc>
        <w:tc>
          <w:tcPr>
            <w:tcW w:w="773" w:type="pct"/>
          </w:tcPr>
          <w:p w14:paraId="3ABB338F">
            <w:pPr>
              <w:rPr>
                <w:rFonts w:asciiTheme="minorEastAsia" w:hAnsiTheme="minorEastAsia" w:eastAsiaTheme="minorEastAsia"/>
                <w:color w:val="auto"/>
                <w:sz w:val="24"/>
                <w:highlight w:val="none"/>
              </w:rPr>
            </w:pPr>
          </w:p>
        </w:tc>
        <w:tc>
          <w:tcPr>
            <w:tcW w:w="773" w:type="pct"/>
          </w:tcPr>
          <w:p w14:paraId="66A5FA25">
            <w:pPr>
              <w:rPr>
                <w:rFonts w:asciiTheme="minorEastAsia" w:hAnsiTheme="minorEastAsia" w:eastAsiaTheme="minorEastAsia"/>
                <w:color w:val="auto"/>
                <w:sz w:val="24"/>
                <w:highlight w:val="none"/>
              </w:rPr>
            </w:pPr>
          </w:p>
        </w:tc>
        <w:tc>
          <w:tcPr>
            <w:tcW w:w="394" w:type="pct"/>
          </w:tcPr>
          <w:p w14:paraId="69D246BF">
            <w:pPr>
              <w:rPr>
                <w:rFonts w:asciiTheme="minorEastAsia" w:hAnsiTheme="minorEastAsia" w:eastAsiaTheme="minorEastAsia"/>
                <w:color w:val="auto"/>
                <w:sz w:val="24"/>
                <w:highlight w:val="none"/>
              </w:rPr>
            </w:pPr>
          </w:p>
        </w:tc>
        <w:tc>
          <w:tcPr>
            <w:tcW w:w="394" w:type="pct"/>
          </w:tcPr>
          <w:p w14:paraId="0023E755">
            <w:pPr>
              <w:rPr>
                <w:rFonts w:asciiTheme="minorEastAsia" w:hAnsiTheme="minorEastAsia" w:eastAsiaTheme="minorEastAsia"/>
                <w:color w:val="auto"/>
                <w:sz w:val="24"/>
                <w:highlight w:val="none"/>
              </w:rPr>
            </w:pPr>
          </w:p>
        </w:tc>
        <w:tc>
          <w:tcPr>
            <w:tcW w:w="551" w:type="pct"/>
          </w:tcPr>
          <w:p w14:paraId="65924827">
            <w:pPr>
              <w:rPr>
                <w:rFonts w:asciiTheme="minorEastAsia" w:hAnsiTheme="minorEastAsia" w:eastAsiaTheme="minorEastAsia"/>
                <w:color w:val="auto"/>
                <w:sz w:val="24"/>
                <w:highlight w:val="none"/>
              </w:rPr>
            </w:pPr>
          </w:p>
        </w:tc>
        <w:tc>
          <w:tcPr>
            <w:tcW w:w="551" w:type="pct"/>
          </w:tcPr>
          <w:p w14:paraId="04F6CDE2">
            <w:pPr>
              <w:rPr>
                <w:rFonts w:asciiTheme="minorEastAsia" w:hAnsiTheme="minorEastAsia" w:eastAsiaTheme="minorEastAsia"/>
                <w:color w:val="auto"/>
                <w:sz w:val="24"/>
                <w:highlight w:val="none"/>
              </w:rPr>
            </w:pPr>
          </w:p>
        </w:tc>
        <w:tc>
          <w:tcPr>
            <w:tcW w:w="393" w:type="pct"/>
          </w:tcPr>
          <w:p w14:paraId="099496E4">
            <w:pPr>
              <w:rPr>
                <w:rFonts w:asciiTheme="minorEastAsia" w:hAnsiTheme="minorEastAsia" w:eastAsiaTheme="minorEastAsia"/>
                <w:color w:val="auto"/>
                <w:sz w:val="24"/>
                <w:highlight w:val="none"/>
              </w:rPr>
            </w:pPr>
          </w:p>
        </w:tc>
      </w:tr>
      <w:tr w14:paraId="773D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788E0E6">
            <w:pPr>
              <w:jc w:val="center"/>
              <w:rPr>
                <w:rFonts w:asciiTheme="minorEastAsia" w:hAnsiTheme="minorEastAsia" w:eastAsiaTheme="minorEastAsia"/>
                <w:color w:val="auto"/>
                <w:sz w:val="24"/>
                <w:highlight w:val="none"/>
              </w:rPr>
            </w:pPr>
          </w:p>
        </w:tc>
        <w:tc>
          <w:tcPr>
            <w:tcW w:w="777" w:type="pct"/>
            <w:vAlign w:val="center"/>
          </w:tcPr>
          <w:p w14:paraId="108DF931">
            <w:pPr>
              <w:pStyle w:val="54"/>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其他费用</w:t>
            </w:r>
          </w:p>
        </w:tc>
        <w:tc>
          <w:tcPr>
            <w:tcW w:w="773" w:type="pct"/>
          </w:tcPr>
          <w:p w14:paraId="22EA3AC8">
            <w:pPr>
              <w:rPr>
                <w:rFonts w:asciiTheme="minorEastAsia" w:hAnsiTheme="minorEastAsia" w:eastAsiaTheme="minorEastAsia"/>
                <w:color w:val="auto"/>
                <w:sz w:val="24"/>
                <w:highlight w:val="none"/>
              </w:rPr>
            </w:pPr>
          </w:p>
        </w:tc>
        <w:tc>
          <w:tcPr>
            <w:tcW w:w="773" w:type="pct"/>
          </w:tcPr>
          <w:p w14:paraId="311968CB">
            <w:pPr>
              <w:rPr>
                <w:rFonts w:asciiTheme="minorEastAsia" w:hAnsiTheme="minorEastAsia" w:eastAsiaTheme="minorEastAsia"/>
                <w:color w:val="auto"/>
                <w:sz w:val="24"/>
                <w:highlight w:val="none"/>
              </w:rPr>
            </w:pPr>
          </w:p>
        </w:tc>
        <w:tc>
          <w:tcPr>
            <w:tcW w:w="394" w:type="pct"/>
          </w:tcPr>
          <w:p w14:paraId="18DD5DE2">
            <w:pPr>
              <w:rPr>
                <w:rFonts w:asciiTheme="minorEastAsia" w:hAnsiTheme="minorEastAsia" w:eastAsiaTheme="minorEastAsia"/>
                <w:color w:val="auto"/>
                <w:sz w:val="24"/>
                <w:highlight w:val="none"/>
              </w:rPr>
            </w:pPr>
          </w:p>
        </w:tc>
        <w:tc>
          <w:tcPr>
            <w:tcW w:w="394" w:type="pct"/>
          </w:tcPr>
          <w:p w14:paraId="0870A9D0">
            <w:pPr>
              <w:rPr>
                <w:rFonts w:asciiTheme="minorEastAsia" w:hAnsiTheme="minorEastAsia" w:eastAsiaTheme="minorEastAsia"/>
                <w:color w:val="auto"/>
                <w:sz w:val="24"/>
                <w:highlight w:val="none"/>
              </w:rPr>
            </w:pPr>
          </w:p>
        </w:tc>
        <w:tc>
          <w:tcPr>
            <w:tcW w:w="551" w:type="pct"/>
          </w:tcPr>
          <w:p w14:paraId="196F215E">
            <w:pPr>
              <w:rPr>
                <w:rFonts w:asciiTheme="minorEastAsia" w:hAnsiTheme="minorEastAsia" w:eastAsiaTheme="minorEastAsia"/>
                <w:color w:val="auto"/>
                <w:sz w:val="24"/>
                <w:highlight w:val="none"/>
              </w:rPr>
            </w:pPr>
          </w:p>
        </w:tc>
        <w:tc>
          <w:tcPr>
            <w:tcW w:w="551" w:type="pct"/>
          </w:tcPr>
          <w:p w14:paraId="71A594E4">
            <w:pPr>
              <w:rPr>
                <w:rFonts w:asciiTheme="minorEastAsia" w:hAnsiTheme="minorEastAsia" w:eastAsiaTheme="minorEastAsia"/>
                <w:color w:val="auto"/>
                <w:sz w:val="24"/>
                <w:highlight w:val="none"/>
              </w:rPr>
            </w:pPr>
          </w:p>
        </w:tc>
        <w:tc>
          <w:tcPr>
            <w:tcW w:w="393" w:type="pct"/>
          </w:tcPr>
          <w:p w14:paraId="48F60C89">
            <w:pPr>
              <w:rPr>
                <w:rFonts w:asciiTheme="minorEastAsia" w:hAnsiTheme="minorEastAsia" w:eastAsiaTheme="minorEastAsia"/>
                <w:color w:val="auto"/>
                <w:sz w:val="24"/>
                <w:highlight w:val="none"/>
              </w:rPr>
            </w:pPr>
          </w:p>
        </w:tc>
      </w:tr>
      <w:tr w14:paraId="22FA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7194A59">
            <w:pPr>
              <w:jc w:val="center"/>
              <w:rPr>
                <w:rFonts w:asciiTheme="minorEastAsia" w:hAnsiTheme="minorEastAsia" w:eastAsiaTheme="minorEastAsia"/>
                <w:color w:val="auto"/>
                <w:sz w:val="24"/>
                <w:highlight w:val="none"/>
              </w:rPr>
            </w:pPr>
          </w:p>
        </w:tc>
        <w:tc>
          <w:tcPr>
            <w:tcW w:w="777" w:type="pct"/>
          </w:tcPr>
          <w:p w14:paraId="4759A974">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773" w:type="pct"/>
          </w:tcPr>
          <w:p w14:paraId="7203E6B1">
            <w:pPr>
              <w:rPr>
                <w:rFonts w:asciiTheme="minorEastAsia" w:hAnsiTheme="minorEastAsia" w:eastAsiaTheme="minorEastAsia"/>
                <w:color w:val="auto"/>
                <w:sz w:val="24"/>
                <w:highlight w:val="none"/>
              </w:rPr>
            </w:pPr>
          </w:p>
        </w:tc>
        <w:tc>
          <w:tcPr>
            <w:tcW w:w="773" w:type="pct"/>
          </w:tcPr>
          <w:p w14:paraId="56F55A4F">
            <w:pPr>
              <w:rPr>
                <w:rFonts w:asciiTheme="minorEastAsia" w:hAnsiTheme="minorEastAsia" w:eastAsiaTheme="minorEastAsia"/>
                <w:color w:val="auto"/>
                <w:sz w:val="24"/>
                <w:highlight w:val="none"/>
              </w:rPr>
            </w:pPr>
          </w:p>
        </w:tc>
        <w:tc>
          <w:tcPr>
            <w:tcW w:w="394" w:type="pct"/>
          </w:tcPr>
          <w:p w14:paraId="6E47AAD0">
            <w:pPr>
              <w:rPr>
                <w:rFonts w:asciiTheme="minorEastAsia" w:hAnsiTheme="minorEastAsia" w:eastAsiaTheme="minorEastAsia"/>
                <w:color w:val="auto"/>
                <w:sz w:val="24"/>
                <w:highlight w:val="none"/>
              </w:rPr>
            </w:pPr>
          </w:p>
        </w:tc>
        <w:tc>
          <w:tcPr>
            <w:tcW w:w="394" w:type="pct"/>
          </w:tcPr>
          <w:p w14:paraId="1456EA86">
            <w:pPr>
              <w:rPr>
                <w:rFonts w:asciiTheme="minorEastAsia" w:hAnsiTheme="minorEastAsia" w:eastAsiaTheme="minorEastAsia"/>
                <w:color w:val="auto"/>
                <w:sz w:val="24"/>
                <w:highlight w:val="none"/>
              </w:rPr>
            </w:pPr>
          </w:p>
        </w:tc>
        <w:tc>
          <w:tcPr>
            <w:tcW w:w="551" w:type="pct"/>
          </w:tcPr>
          <w:p w14:paraId="04DAFFFE">
            <w:pPr>
              <w:rPr>
                <w:rFonts w:asciiTheme="minorEastAsia" w:hAnsiTheme="minorEastAsia" w:eastAsiaTheme="minorEastAsia"/>
                <w:color w:val="auto"/>
                <w:sz w:val="24"/>
                <w:highlight w:val="none"/>
              </w:rPr>
            </w:pPr>
          </w:p>
        </w:tc>
        <w:tc>
          <w:tcPr>
            <w:tcW w:w="551" w:type="pct"/>
          </w:tcPr>
          <w:p w14:paraId="25F5A8CB">
            <w:pPr>
              <w:rPr>
                <w:rFonts w:asciiTheme="minorEastAsia" w:hAnsiTheme="minorEastAsia" w:eastAsiaTheme="minorEastAsia"/>
                <w:color w:val="auto"/>
                <w:sz w:val="24"/>
                <w:highlight w:val="none"/>
              </w:rPr>
            </w:pPr>
          </w:p>
        </w:tc>
        <w:tc>
          <w:tcPr>
            <w:tcW w:w="393" w:type="pct"/>
          </w:tcPr>
          <w:p w14:paraId="520D7700">
            <w:pPr>
              <w:rPr>
                <w:rFonts w:asciiTheme="minorEastAsia" w:hAnsiTheme="minorEastAsia" w:eastAsiaTheme="minorEastAsia"/>
                <w:color w:val="auto"/>
                <w:sz w:val="24"/>
                <w:highlight w:val="none"/>
              </w:rPr>
            </w:pPr>
          </w:p>
        </w:tc>
      </w:tr>
      <w:tr w14:paraId="73F0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B412D42">
            <w:pPr>
              <w:jc w:val="center"/>
              <w:rPr>
                <w:rFonts w:asciiTheme="minorEastAsia" w:hAnsiTheme="minorEastAsia" w:eastAsiaTheme="minorEastAsia"/>
                <w:color w:val="auto"/>
                <w:sz w:val="24"/>
                <w:highlight w:val="none"/>
              </w:rPr>
            </w:pPr>
          </w:p>
        </w:tc>
        <w:tc>
          <w:tcPr>
            <w:tcW w:w="777" w:type="pct"/>
          </w:tcPr>
          <w:p w14:paraId="66374088">
            <w:pPr>
              <w:pStyle w:val="54"/>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p>
        </w:tc>
        <w:tc>
          <w:tcPr>
            <w:tcW w:w="773" w:type="pct"/>
          </w:tcPr>
          <w:p w14:paraId="7EA8E721">
            <w:pPr>
              <w:rPr>
                <w:rFonts w:asciiTheme="minorEastAsia" w:hAnsiTheme="minorEastAsia" w:eastAsiaTheme="minorEastAsia"/>
                <w:color w:val="auto"/>
                <w:sz w:val="24"/>
                <w:highlight w:val="none"/>
              </w:rPr>
            </w:pPr>
          </w:p>
        </w:tc>
        <w:tc>
          <w:tcPr>
            <w:tcW w:w="773" w:type="pct"/>
          </w:tcPr>
          <w:p w14:paraId="1667CE18">
            <w:pPr>
              <w:rPr>
                <w:rFonts w:asciiTheme="minorEastAsia" w:hAnsiTheme="minorEastAsia" w:eastAsiaTheme="minorEastAsia"/>
                <w:color w:val="auto"/>
                <w:sz w:val="24"/>
                <w:highlight w:val="none"/>
              </w:rPr>
            </w:pPr>
          </w:p>
        </w:tc>
        <w:tc>
          <w:tcPr>
            <w:tcW w:w="394" w:type="pct"/>
          </w:tcPr>
          <w:p w14:paraId="080F72A3">
            <w:pPr>
              <w:rPr>
                <w:rFonts w:asciiTheme="minorEastAsia" w:hAnsiTheme="minorEastAsia" w:eastAsiaTheme="minorEastAsia"/>
                <w:color w:val="auto"/>
                <w:sz w:val="24"/>
                <w:highlight w:val="none"/>
              </w:rPr>
            </w:pPr>
          </w:p>
        </w:tc>
        <w:tc>
          <w:tcPr>
            <w:tcW w:w="394" w:type="pct"/>
          </w:tcPr>
          <w:p w14:paraId="0CFC2D19">
            <w:pPr>
              <w:rPr>
                <w:rFonts w:asciiTheme="minorEastAsia" w:hAnsiTheme="minorEastAsia" w:eastAsiaTheme="minorEastAsia"/>
                <w:color w:val="auto"/>
                <w:sz w:val="24"/>
                <w:highlight w:val="none"/>
              </w:rPr>
            </w:pPr>
          </w:p>
        </w:tc>
        <w:tc>
          <w:tcPr>
            <w:tcW w:w="551" w:type="pct"/>
          </w:tcPr>
          <w:p w14:paraId="6786ADEA">
            <w:pPr>
              <w:rPr>
                <w:rFonts w:asciiTheme="minorEastAsia" w:hAnsiTheme="minorEastAsia" w:eastAsiaTheme="minorEastAsia"/>
                <w:color w:val="auto"/>
                <w:sz w:val="24"/>
                <w:highlight w:val="none"/>
              </w:rPr>
            </w:pPr>
          </w:p>
        </w:tc>
        <w:tc>
          <w:tcPr>
            <w:tcW w:w="551" w:type="pct"/>
          </w:tcPr>
          <w:p w14:paraId="251F43EB">
            <w:pPr>
              <w:rPr>
                <w:rFonts w:asciiTheme="minorEastAsia" w:hAnsiTheme="minorEastAsia" w:eastAsiaTheme="minorEastAsia"/>
                <w:color w:val="auto"/>
                <w:sz w:val="24"/>
                <w:highlight w:val="none"/>
              </w:rPr>
            </w:pPr>
          </w:p>
        </w:tc>
        <w:tc>
          <w:tcPr>
            <w:tcW w:w="393" w:type="pct"/>
          </w:tcPr>
          <w:p w14:paraId="0E7A5CB0">
            <w:pPr>
              <w:rPr>
                <w:rFonts w:asciiTheme="minorEastAsia" w:hAnsiTheme="minorEastAsia" w:eastAsiaTheme="minorEastAsia"/>
                <w:color w:val="auto"/>
                <w:sz w:val="24"/>
                <w:highlight w:val="none"/>
              </w:rPr>
            </w:pPr>
          </w:p>
        </w:tc>
      </w:tr>
      <w:tr w14:paraId="13D9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47B4D6B">
            <w:pPr>
              <w:jc w:val="center"/>
              <w:rPr>
                <w:rFonts w:asciiTheme="minorEastAsia" w:hAnsiTheme="minorEastAsia" w:eastAsiaTheme="minorEastAsia"/>
                <w:color w:val="auto"/>
                <w:sz w:val="24"/>
                <w:highlight w:val="none"/>
              </w:rPr>
            </w:pPr>
          </w:p>
        </w:tc>
        <w:tc>
          <w:tcPr>
            <w:tcW w:w="777" w:type="pct"/>
          </w:tcPr>
          <w:p w14:paraId="07541B0E">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773" w:type="pct"/>
          </w:tcPr>
          <w:p w14:paraId="1CB33C8E">
            <w:pPr>
              <w:rPr>
                <w:rFonts w:asciiTheme="minorEastAsia" w:hAnsiTheme="minorEastAsia" w:eastAsiaTheme="minorEastAsia"/>
                <w:color w:val="auto"/>
                <w:sz w:val="24"/>
                <w:highlight w:val="none"/>
              </w:rPr>
            </w:pPr>
          </w:p>
        </w:tc>
        <w:tc>
          <w:tcPr>
            <w:tcW w:w="773" w:type="pct"/>
          </w:tcPr>
          <w:p w14:paraId="2C4D6569">
            <w:pPr>
              <w:rPr>
                <w:rFonts w:asciiTheme="minorEastAsia" w:hAnsiTheme="minorEastAsia" w:eastAsiaTheme="minorEastAsia"/>
                <w:color w:val="auto"/>
                <w:sz w:val="24"/>
                <w:highlight w:val="none"/>
              </w:rPr>
            </w:pPr>
          </w:p>
        </w:tc>
        <w:tc>
          <w:tcPr>
            <w:tcW w:w="394" w:type="pct"/>
          </w:tcPr>
          <w:p w14:paraId="48032EFC">
            <w:pPr>
              <w:rPr>
                <w:rFonts w:asciiTheme="minorEastAsia" w:hAnsiTheme="minorEastAsia" w:eastAsiaTheme="minorEastAsia"/>
                <w:color w:val="auto"/>
                <w:sz w:val="24"/>
                <w:highlight w:val="none"/>
              </w:rPr>
            </w:pPr>
          </w:p>
        </w:tc>
        <w:tc>
          <w:tcPr>
            <w:tcW w:w="394" w:type="pct"/>
          </w:tcPr>
          <w:p w14:paraId="48A208A7">
            <w:pPr>
              <w:rPr>
                <w:rFonts w:asciiTheme="minorEastAsia" w:hAnsiTheme="minorEastAsia" w:eastAsiaTheme="minorEastAsia"/>
                <w:color w:val="auto"/>
                <w:sz w:val="24"/>
                <w:highlight w:val="none"/>
              </w:rPr>
            </w:pPr>
          </w:p>
        </w:tc>
        <w:tc>
          <w:tcPr>
            <w:tcW w:w="551" w:type="pct"/>
          </w:tcPr>
          <w:p w14:paraId="55815127">
            <w:pPr>
              <w:rPr>
                <w:rFonts w:asciiTheme="minorEastAsia" w:hAnsiTheme="minorEastAsia" w:eastAsiaTheme="minorEastAsia"/>
                <w:color w:val="auto"/>
                <w:sz w:val="24"/>
                <w:highlight w:val="none"/>
              </w:rPr>
            </w:pPr>
          </w:p>
        </w:tc>
        <w:tc>
          <w:tcPr>
            <w:tcW w:w="551" w:type="pct"/>
          </w:tcPr>
          <w:p w14:paraId="1CC1CCBB">
            <w:pPr>
              <w:rPr>
                <w:rFonts w:asciiTheme="minorEastAsia" w:hAnsiTheme="minorEastAsia" w:eastAsiaTheme="minorEastAsia"/>
                <w:color w:val="auto"/>
                <w:sz w:val="24"/>
                <w:highlight w:val="none"/>
              </w:rPr>
            </w:pPr>
          </w:p>
        </w:tc>
        <w:tc>
          <w:tcPr>
            <w:tcW w:w="393" w:type="pct"/>
          </w:tcPr>
          <w:p w14:paraId="276C5D20">
            <w:pPr>
              <w:rPr>
                <w:rFonts w:asciiTheme="minorEastAsia" w:hAnsiTheme="minorEastAsia" w:eastAsiaTheme="minorEastAsia"/>
                <w:color w:val="auto"/>
                <w:sz w:val="24"/>
                <w:highlight w:val="none"/>
              </w:rPr>
            </w:pPr>
          </w:p>
        </w:tc>
      </w:tr>
      <w:tr w14:paraId="704A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089BB242">
            <w:pPr>
              <w:pStyle w:val="54"/>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合计（元）</w:t>
            </w:r>
          </w:p>
        </w:tc>
        <w:tc>
          <w:tcPr>
            <w:tcW w:w="773" w:type="pct"/>
          </w:tcPr>
          <w:p w14:paraId="62A1D4B9">
            <w:pPr>
              <w:rPr>
                <w:rFonts w:asciiTheme="minorEastAsia" w:hAnsiTheme="minorEastAsia" w:eastAsiaTheme="minorEastAsia"/>
                <w:color w:val="auto"/>
                <w:sz w:val="24"/>
                <w:highlight w:val="none"/>
              </w:rPr>
            </w:pPr>
          </w:p>
        </w:tc>
        <w:tc>
          <w:tcPr>
            <w:tcW w:w="773" w:type="pct"/>
          </w:tcPr>
          <w:p w14:paraId="32893C83">
            <w:pPr>
              <w:rPr>
                <w:rFonts w:asciiTheme="minorEastAsia" w:hAnsiTheme="minorEastAsia" w:eastAsiaTheme="minorEastAsia"/>
                <w:color w:val="auto"/>
                <w:sz w:val="24"/>
                <w:highlight w:val="none"/>
              </w:rPr>
            </w:pPr>
          </w:p>
        </w:tc>
        <w:tc>
          <w:tcPr>
            <w:tcW w:w="394" w:type="pct"/>
          </w:tcPr>
          <w:p w14:paraId="1E3CF64E">
            <w:pPr>
              <w:rPr>
                <w:rFonts w:asciiTheme="minorEastAsia" w:hAnsiTheme="minorEastAsia" w:eastAsiaTheme="minorEastAsia"/>
                <w:color w:val="auto"/>
                <w:sz w:val="24"/>
                <w:highlight w:val="none"/>
              </w:rPr>
            </w:pPr>
          </w:p>
        </w:tc>
        <w:tc>
          <w:tcPr>
            <w:tcW w:w="394" w:type="pct"/>
          </w:tcPr>
          <w:p w14:paraId="142D72F6">
            <w:pPr>
              <w:rPr>
                <w:rFonts w:asciiTheme="minorEastAsia" w:hAnsiTheme="minorEastAsia" w:eastAsiaTheme="minorEastAsia"/>
                <w:color w:val="auto"/>
                <w:sz w:val="24"/>
                <w:highlight w:val="none"/>
              </w:rPr>
            </w:pPr>
          </w:p>
        </w:tc>
        <w:tc>
          <w:tcPr>
            <w:tcW w:w="551" w:type="pct"/>
          </w:tcPr>
          <w:p w14:paraId="485A44A6">
            <w:pPr>
              <w:rPr>
                <w:rFonts w:asciiTheme="minorEastAsia" w:hAnsiTheme="minorEastAsia" w:eastAsiaTheme="minorEastAsia"/>
                <w:color w:val="auto"/>
                <w:sz w:val="24"/>
                <w:highlight w:val="none"/>
              </w:rPr>
            </w:pPr>
          </w:p>
        </w:tc>
        <w:tc>
          <w:tcPr>
            <w:tcW w:w="551" w:type="pct"/>
          </w:tcPr>
          <w:p w14:paraId="3570631A">
            <w:pPr>
              <w:rPr>
                <w:rFonts w:asciiTheme="minorEastAsia" w:hAnsiTheme="minorEastAsia" w:eastAsiaTheme="minorEastAsia"/>
                <w:color w:val="auto"/>
                <w:sz w:val="24"/>
                <w:highlight w:val="none"/>
              </w:rPr>
            </w:pPr>
          </w:p>
        </w:tc>
        <w:tc>
          <w:tcPr>
            <w:tcW w:w="393" w:type="pct"/>
          </w:tcPr>
          <w:p w14:paraId="0850D83D">
            <w:pPr>
              <w:rPr>
                <w:rFonts w:asciiTheme="minorEastAsia" w:hAnsiTheme="minorEastAsia" w:eastAsiaTheme="minorEastAsia"/>
                <w:color w:val="auto"/>
                <w:sz w:val="24"/>
                <w:highlight w:val="none"/>
              </w:rPr>
            </w:pPr>
          </w:p>
        </w:tc>
      </w:tr>
    </w:tbl>
    <w:p w14:paraId="084A11B2">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4B47B3FB">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CC6AF00">
      <w:pPr>
        <w:adjustRightInd w:val="0"/>
        <w:snapToGrid w:val="0"/>
        <w:spacing w:line="360" w:lineRule="auto"/>
        <w:rPr>
          <w:rFonts w:asciiTheme="minorEastAsia" w:hAnsiTheme="minorEastAsia" w:eastAsiaTheme="minorEastAsia"/>
          <w:b/>
          <w:bCs/>
          <w:color w:val="auto"/>
          <w:sz w:val="24"/>
          <w:szCs w:val="28"/>
          <w:highlight w:val="none"/>
        </w:rPr>
      </w:pPr>
    </w:p>
    <w:p w14:paraId="4459150C">
      <w:pPr>
        <w:adjustRightInd w:val="0"/>
        <w:snapToGrid w:val="0"/>
        <w:spacing w:line="360" w:lineRule="auto"/>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7833108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6B40E0BB">
      <w:pPr>
        <w:spacing w:line="360" w:lineRule="auto"/>
        <w:ind w:firstLine="435"/>
        <w:rPr>
          <w:rFonts w:ascii="宋体" w:hAnsi="宋体" w:cs="宋体"/>
          <w:b/>
          <w:color w:val="auto"/>
          <w:sz w:val="24"/>
          <w:highlight w:val="none"/>
        </w:rPr>
      </w:pPr>
      <w:r>
        <w:rPr>
          <w:rFonts w:hint="eastAsia" w:asciiTheme="minorEastAsia" w:hAnsiTheme="minorEastAsia" w:eastAsiaTheme="minorEastAsia"/>
          <w:color w:val="auto"/>
          <w:sz w:val="24"/>
          <w:highlight w:val="none"/>
        </w:rPr>
        <w:t>2.表中须明确列出所投产品的货物名称、品牌、型号规格、原产地及生产厂商，否则可能导致</w:t>
      </w:r>
      <w:r>
        <w:rPr>
          <w:rFonts w:hint="eastAsia" w:asciiTheme="minorEastAsia" w:hAnsiTheme="minorEastAsia" w:eastAsiaTheme="minorEastAsia"/>
          <w:b/>
          <w:bCs/>
          <w:color w:val="auto"/>
          <w:sz w:val="24"/>
          <w:highlight w:val="none"/>
        </w:rPr>
        <w:t>投标无效</w:t>
      </w:r>
      <w:r>
        <w:rPr>
          <w:rFonts w:hint="eastAsia" w:asciiTheme="minorEastAsia" w:hAnsiTheme="minorEastAsia" w:eastAsiaTheme="minorEastAsia"/>
          <w:color w:val="auto"/>
          <w:sz w:val="24"/>
          <w:highlight w:val="none"/>
        </w:rPr>
        <w:t>。</w:t>
      </w:r>
    </w:p>
    <w:p w14:paraId="32FA605E">
      <w:pPr>
        <w:rPr>
          <w:rFonts w:ascii="宋体" w:hAnsi="宋体" w:cs="宋体"/>
          <w:b/>
          <w:color w:val="auto"/>
          <w:sz w:val="24"/>
          <w:highlight w:val="none"/>
        </w:rPr>
      </w:pPr>
    </w:p>
    <w:p w14:paraId="4A4FC87F">
      <w:pPr>
        <w:rPr>
          <w:rFonts w:ascii="宋体" w:hAnsi="宋体" w:cs="宋体"/>
          <w:b/>
          <w:color w:val="auto"/>
          <w:sz w:val="24"/>
          <w:highlight w:val="none"/>
        </w:rPr>
      </w:pPr>
    </w:p>
    <w:p w14:paraId="71CB7B83">
      <w:pPr>
        <w:pageBreakBefore/>
        <w:spacing w:before="162" w:beforeLines="50" w:after="162" w:afterLines="50" w:line="440" w:lineRule="exact"/>
        <w:jc w:val="center"/>
        <w:outlineLvl w:val="1"/>
        <w:rPr>
          <w:rFonts w:ascii="宋体" w:hAnsi="宋体" w:cs="宋体"/>
          <w:b/>
          <w:color w:val="auto"/>
          <w:sz w:val="32"/>
          <w:szCs w:val="32"/>
          <w:highlight w:val="none"/>
        </w:rPr>
      </w:pPr>
      <w:bookmarkStart w:id="172" w:name="_Toc15676"/>
      <w:r>
        <w:rPr>
          <w:rFonts w:hint="eastAsia" w:ascii="宋体" w:hAnsi="宋体" w:cs="宋体"/>
          <w:b/>
          <w:color w:val="auto"/>
          <w:sz w:val="32"/>
          <w:szCs w:val="32"/>
          <w:highlight w:val="none"/>
        </w:rPr>
        <w:t>第六章  采购单位、招标代理机构对本采购文件的确认</w:t>
      </w:r>
      <w:bookmarkEnd w:id="172"/>
    </w:p>
    <w:p w14:paraId="264E4674">
      <w:pPr>
        <w:pStyle w:val="9"/>
        <w:rPr>
          <w:rFonts w:ascii="宋体" w:hAnsi="宋体" w:cs="宋体"/>
          <w:b w:val="0"/>
          <w:bCs w:val="0"/>
          <w:color w:val="auto"/>
          <w:sz w:val="24"/>
          <w:szCs w:val="24"/>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44C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180" w:type="dxa"/>
          </w:tcPr>
          <w:p w14:paraId="23F19F58">
            <w:pPr>
              <w:adjustRightInd w:val="0"/>
              <w:snapToGrid w:val="0"/>
              <w:spacing w:line="320" w:lineRule="exact"/>
              <w:rPr>
                <w:rFonts w:ascii="宋体" w:hAnsi="宋体" w:cs="宋体"/>
                <w:color w:val="auto"/>
                <w:sz w:val="30"/>
                <w:szCs w:val="30"/>
                <w:highlight w:val="none"/>
              </w:rPr>
            </w:pPr>
          </w:p>
          <w:p w14:paraId="077AA639">
            <w:pPr>
              <w:spacing w:line="700" w:lineRule="exact"/>
              <w:ind w:right="143" w:rightChars="68"/>
              <w:jc w:val="left"/>
              <w:rPr>
                <w:rFonts w:ascii="宋体" w:hAnsi="宋体" w:cs="宋体"/>
                <w:color w:val="auto"/>
                <w:sz w:val="30"/>
                <w:highlight w:val="none"/>
              </w:rPr>
            </w:pPr>
            <w:r>
              <w:rPr>
                <w:rFonts w:hint="eastAsia" w:ascii="宋体" w:hAnsi="宋体" w:cs="宋体"/>
                <w:color w:val="auto"/>
                <w:sz w:val="30"/>
                <w:highlight w:val="none"/>
              </w:rPr>
              <w:t>我单位对</w:t>
            </w:r>
            <w:r>
              <w:rPr>
                <w:rFonts w:hint="eastAsia" w:ascii="宋体" w:hAnsi="宋体" w:cs="宋体"/>
                <w:color w:val="auto"/>
                <w:sz w:val="30"/>
                <w:highlight w:val="none"/>
                <w:u w:val="single"/>
              </w:rPr>
              <w:t xml:space="preserve">  </w:t>
            </w:r>
            <w:r>
              <w:rPr>
                <w:rFonts w:hint="eastAsia" w:ascii="宋体" w:hAnsi="宋体" w:cs="宋体"/>
                <w:color w:val="auto"/>
                <w:sz w:val="30"/>
                <w:highlight w:val="none"/>
                <w:u w:val="single"/>
                <w:lang w:eastAsia="zh-CN"/>
              </w:rPr>
              <w:t>滁州学院会峰校区学生公寓15、16号楼监控采购及安装</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的采购文件进行确认。</w:t>
            </w:r>
          </w:p>
          <w:p w14:paraId="0747957A">
            <w:pPr>
              <w:spacing w:line="600" w:lineRule="exact"/>
              <w:ind w:firstLine="560" w:firstLineChars="200"/>
              <w:jc w:val="left"/>
              <w:rPr>
                <w:rFonts w:ascii="宋体" w:cs="宋体"/>
                <w:color w:val="auto"/>
                <w:sz w:val="28"/>
                <w:szCs w:val="28"/>
                <w:highlight w:val="none"/>
              </w:rPr>
            </w:pPr>
          </w:p>
          <w:p w14:paraId="603E28B5">
            <w:pPr>
              <w:spacing w:line="600" w:lineRule="exact"/>
              <w:ind w:firstLine="560" w:firstLineChars="200"/>
              <w:jc w:val="left"/>
              <w:rPr>
                <w:rFonts w:hint="eastAsia" w:ascii="宋体" w:eastAsia="宋体" w:cs="宋体"/>
                <w:color w:val="auto"/>
                <w:sz w:val="28"/>
                <w:szCs w:val="28"/>
                <w:highlight w:val="none"/>
                <w:lang w:eastAsia="zh-CN"/>
              </w:rPr>
            </w:pPr>
            <w:r>
              <w:rPr>
                <w:rFonts w:hint="eastAsia" w:ascii="宋体" w:cs="宋体"/>
                <w:color w:val="auto"/>
                <w:sz w:val="28"/>
                <w:szCs w:val="28"/>
                <w:highlight w:val="none"/>
              </w:rPr>
              <w:t>采购单位：</w:t>
            </w:r>
            <w:r>
              <w:rPr>
                <w:rFonts w:hint="eastAsia" w:ascii="宋体" w:hAnsi="宋体"/>
                <w:color w:val="auto"/>
                <w:sz w:val="30"/>
                <w:highlight w:val="none"/>
                <w:lang w:eastAsia="zh-CN"/>
              </w:rPr>
              <w:t xml:space="preserve"> 滁州学院资产与实验室管理处</w:t>
            </w:r>
          </w:p>
          <w:p w14:paraId="742EC7E4">
            <w:pPr>
              <w:spacing w:line="700" w:lineRule="exact"/>
              <w:ind w:firstLine="560" w:firstLineChars="200"/>
              <w:rPr>
                <w:rFonts w:hint="eastAsia" w:ascii="宋体" w:cs="宋体"/>
                <w:color w:val="auto"/>
                <w:sz w:val="28"/>
                <w:szCs w:val="28"/>
                <w:highlight w:val="none"/>
                <w:lang w:eastAsia="zh-CN"/>
              </w:rPr>
            </w:pPr>
            <w:r>
              <w:rPr>
                <w:rFonts w:hint="eastAsia" w:ascii="宋体" w:cs="宋体"/>
                <w:color w:val="auto"/>
                <w:sz w:val="28"/>
                <w:szCs w:val="28"/>
                <w:highlight w:val="none"/>
              </w:rPr>
              <w:t>采购联系人：</w:t>
            </w:r>
            <w:r>
              <w:rPr>
                <w:rFonts w:hint="eastAsia" w:ascii="宋体" w:cs="宋体"/>
                <w:color w:val="auto"/>
                <w:sz w:val="28"/>
                <w:szCs w:val="28"/>
                <w:highlight w:val="none"/>
                <w:lang w:val="en-US" w:eastAsia="zh-CN"/>
              </w:rPr>
              <w:t>李</w:t>
            </w:r>
            <w:r>
              <w:rPr>
                <w:rFonts w:hint="eastAsia" w:ascii="宋体" w:cs="宋体"/>
                <w:color w:val="auto"/>
                <w:sz w:val="28"/>
                <w:szCs w:val="28"/>
                <w:highlight w:val="none"/>
                <w:lang w:eastAsia="zh-CN"/>
              </w:rPr>
              <w:t>老师</w:t>
            </w:r>
          </w:p>
          <w:p w14:paraId="2B249AC9">
            <w:pPr>
              <w:spacing w:line="70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rPr>
              <w:t>电话：0550-3512003　</w:t>
            </w:r>
          </w:p>
          <w:p w14:paraId="37CB89A9">
            <w:pPr>
              <w:spacing w:line="700" w:lineRule="exact"/>
              <w:ind w:firstLine="560" w:firstLineChars="200"/>
              <w:rPr>
                <w:rFonts w:ascii="宋体" w:hAnsi="宋体" w:cs="宋体"/>
                <w:color w:val="auto"/>
                <w:sz w:val="30"/>
                <w:highlight w:val="none"/>
              </w:rPr>
            </w:pPr>
            <w:r>
              <w:rPr>
                <w:rFonts w:hint="eastAsia" w:ascii="宋体" w:cs="宋体"/>
                <w:color w:val="auto"/>
                <w:sz w:val="28"/>
                <w:szCs w:val="28"/>
                <w:highlight w:val="none"/>
              </w:rPr>
              <w:t>　　</w:t>
            </w:r>
          </w:p>
          <w:p w14:paraId="6E05A8EA">
            <w:pPr>
              <w:widowControl/>
              <w:spacing w:line="440" w:lineRule="exact"/>
              <w:ind w:right="-313" w:rightChars="-149"/>
              <w:jc w:val="left"/>
              <w:rPr>
                <w:rFonts w:ascii="宋体" w:hAnsi="宋体" w:cs="宋体"/>
                <w:color w:val="auto"/>
                <w:szCs w:val="21"/>
                <w:highlight w:val="none"/>
              </w:rPr>
            </w:pPr>
          </w:p>
          <w:p w14:paraId="6A2DFBFC">
            <w:pPr>
              <w:pStyle w:val="2"/>
              <w:rPr>
                <w:color w:val="auto"/>
                <w:highlight w:val="none"/>
              </w:rPr>
            </w:pPr>
          </w:p>
          <w:p w14:paraId="0128F0CE">
            <w:pPr>
              <w:spacing w:line="500" w:lineRule="exact"/>
              <w:ind w:firstLine="300" w:firstLineChars="100"/>
              <w:rPr>
                <w:rFonts w:ascii="宋体" w:hAnsi="宋体" w:cs="宋体"/>
                <w:color w:val="auto"/>
                <w:sz w:val="30"/>
                <w:highlight w:val="none"/>
              </w:rPr>
            </w:pPr>
            <w:r>
              <w:rPr>
                <w:rFonts w:hint="eastAsia" w:ascii="宋体" w:hAnsi="宋体" w:cs="宋体"/>
                <w:color w:val="auto"/>
                <w:sz w:val="30"/>
                <w:highlight w:val="none"/>
              </w:rPr>
              <w:t xml:space="preserve">                                        （单位盖章）</w:t>
            </w:r>
          </w:p>
          <w:p w14:paraId="1AAAC4C9">
            <w:pPr>
              <w:ind w:firstLine="6600" w:firstLineChars="2200"/>
              <w:rPr>
                <w:rFonts w:ascii="宋体" w:hAnsi="宋体" w:cs="宋体"/>
                <w:color w:val="auto"/>
                <w:sz w:val="30"/>
                <w:highlight w:val="none"/>
              </w:rPr>
            </w:pPr>
            <w:r>
              <w:rPr>
                <w:rFonts w:hint="eastAsia" w:ascii="宋体" w:hAnsi="宋体" w:cs="宋体"/>
                <w:color w:val="auto"/>
                <w:sz w:val="30"/>
                <w:highlight w:val="none"/>
              </w:rPr>
              <w:t>202</w:t>
            </w:r>
            <w:r>
              <w:rPr>
                <w:rFonts w:hint="eastAsia" w:ascii="宋体" w:hAnsi="宋体" w:cs="宋体"/>
                <w:color w:val="auto"/>
                <w:sz w:val="30"/>
                <w:highlight w:val="none"/>
                <w:lang w:val="en-US" w:eastAsia="zh-CN"/>
              </w:rPr>
              <w:t>5</w:t>
            </w:r>
            <w:r>
              <w:rPr>
                <w:rFonts w:hint="eastAsia" w:ascii="宋体" w:hAnsi="宋体" w:cs="宋体"/>
                <w:color w:val="auto"/>
                <w:sz w:val="30"/>
                <w:highlight w:val="none"/>
              </w:rPr>
              <w:t>年</w:t>
            </w:r>
            <w:r>
              <w:rPr>
                <w:rFonts w:hint="eastAsia" w:ascii="宋体" w:hAnsi="宋体" w:cs="宋体"/>
                <w:color w:val="auto"/>
                <w:sz w:val="30"/>
                <w:highlight w:val="none"/>
                <w:lang w:val="en-US" w:eastAsia="zh-CN"/>
              </w:rPr>
              <w:t>4</w:t>
            </w:r>
            <w:r>
              <w:rPr>
                <w:rFonts w:hint="eastAsia" w:ascii="宋体" w:hAnsi="宋体" w:cs="宋体"/>
                <w:color w:val="auto"/>
                <w:sz w:val="30"/>
                <w:highlight w:val="none"/>
              </w:rPr>
              <w:t>月</w:t>
            </w:r>
          </w:p>
        </w:tc>
      </w:tr>
      <w:tr w14:paraId="14AF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9180" w:type="dxa"/>
          </w:tcPr>
          <w:p w14:paraId="181FDF95">
            <w:pPr>
              <w:spacing w:line="320" w:lineRule="atLeast"/>
              <w:ind w:firstLine="600" w:firstLineChars="200"/>
              <w:rPr>
                <w:rFonts w:ascii="宋体" w:hAnsi="宋体" w:cs="宋体"/>
                <w:color w:val="auto"/>
                <w:sz w:val="30"/>
                <w:highlight w:val="none"/>
              </w:rPr>
            </w:pPr>
          </w:p>
          <w:p w14:paraId="19D11A01">
            <w:pPr>
              <w:spacing w:line="320" w:lineRule="atLeast"/>
              <w:ind w:firstLine="600" w:firstLineChars="200"/>
              <w:rPr>
                <w:rFonts w:hint="eastAsia" w:ascii="宋体" w:hAnsi="宋体" w:eastAsia="宋体" w:cs="宋体"/>
                <w:color w:val="auto"/>
                <w:sz w:val="30"/>
                <w:highlight w:val="none"/>
                <w:lang w:eastAsia="zh-CN"/>
              </w:rPr>
            </w:pPr>
            <w:r>
              <w:rPr>
                <w:rFonts w:hint="eastAsia" w:ascii="宋体" w:hAnsi="宋体" w:cs="宋体"/>
                <w:color w:val="auto"/>
                <w:sz w:val="30"/>
                <w:highlight w:val="none"/>
              </w:rPr>
              <w:t>招标代理机构：</w:t>
            </w:r>
            <w:r>
              <w:rPr>
                <w:rFonts w:hint="eastAsia" w:ascii="宋体" w:hAnsi="宋体" w:cs="宋体"/>
                <w:color w:val="auto"/>
                <w:sz w:val="30"/>
                <w:highlight w:val="none"/>
                <w:lang w:eastAsia="zh-CN"/>
              </w:rPr>
              <w:t>滁州市城投工程咨询管理有限公司</w:t>
            </w:r>
          </w:p>
          <w:p w14:paraId="05DF6368">
            <w:pPr>
              <w:spacing w:line="320" w:lineRule="atLeast"/>
              <w:ind w:firstLine="600" w:firstLineChars="20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经办人：</w:t>
            </w:r>
            <w:r>
              <w:rPr>
                <w:rFonts w:hint="eastAsia" w:ascii="宋体" w:hAnsi="宋体" w:cs="宋体"/>
                <w:color w:val="auto"/>
                <w:sz w:val="30"/>
                <w:szCs w:val="30"/>
                <w:highlight w:val="none"/>
                <w:lang w:eastAsia="zh-CN"/>
              </w:rPr>
              <w:t>毕玉</w:t>
            </w:r>
          </w:p>
          <w:p w14:paraId="761BDFD6">
            <w:pPr>
              <w:spacing w:line="560" w:lineRule="exact"/>
              <w:ind w:firstLine="600" w:firstLineChars="20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联系电话：</w:t>
            </w:r>
            <w:r>
              <w:rPr>
                <w:rFonts w:hint="eastAsia" w:ascii="宋体" w:hAnsi="宋体" w:cs="宋体"/>
                <w:color w:val="auto"/>
                <w:sz w:val="30"/>
                <w:szCs w:val="30"/>
                <w:highlight w:val="none"/>
                <w:lang w:eastAsia="zh-CN"/>
              </w:rPr>
              <w:t>0550-3519598、15385506369</w:t>
            </w:r>
          </w:p>
          <w:p w14:paraId="7458FDC5">
            <w:pPr>
              <w:spacing w:line="560" w:lineRule="exact"/>
              <w:ind w:firstLine="600" w:firstLineChars="200"/>
              <w:rPr>
                <w:rFonts w:hint="eastAsia" w:ascii="宋体" w:hAnsi="宋体" w:cs="宋体"/>
                <w:color w:val="auto"/>
                <w:sz w:val="30"/>
                <w:szCs w:val="30"/>
                <w:highlight w:val="none"/>
              </w:rPr>
            </w:pPr>
          </w:p>
          <w:p w14:paraId="26670C2E">
            <w:pPr>
              <w:ind w:firstLine="5400" w:firstLineChars="1800"/>
              <w:rPr>
                <w:rFonts w:ascii="宋体" w:hAnsi="宋体" w:cs="宋体"/>
                <w:color w:val="auto"/>
                <w:sz w:val="30"/>
                <w:highlight w:val="none"/>
              </w:rPr>
            </w:pPr>
          </w:p>
          <w:p w14:paraId="5A4B08DE">
            <w:pPr>
              <w:ind w:firstLine="6300" w:firstLineChars="2100"/>
              <w:rPr>
                <w:rFonts w:ascii="宋体" w:hAnsi="宋体" w:cs="宋体"/>
                <w:color w:val="auto"/>
                <w:sz w:val="30"/>
                <w:highlight w:val="none"/>
              </w:rPr>
            </w:pPr>
            <w:r>
              <w:rPr>
                <w:rFonts w:hint="eastAsia" w:ascii="宋体" w:hAnsi="宋体" w:cs="宋体"/>
                <w:color w:val="auto"/>
                <w:sz w:val="30"/>
                <w:highlight w:val="none"/>
              </w:rPr>
              <w:t>（单位盖章）</w:t>
            </w:r>
          </w:p>
          <w:p w14:paraId="0BA0036B">
            <w:pPr>
              <w:ind w:firstLine="5250" w:firstLineChars="1750"/>
              <w:rPr>
                <w:rFonts w:ascii="宋体" w:hAnsi="宋体" w:cs="宋体"/>
                <w:color w:val="auto"/>
                <w:sz w:val="30"/>
                <w:highlight w:val="none"/>
              </w:rPr>
            </w:pPr>
            <w:r>
              <w:rPr>
                <w:rFonts w:hint="eastAsia" w:ascii="宋体" w:hAnsi="宋体" w:cs="宋体"/>
                <w:color w:val="auto"/>
                <w:sz w:val="30"/>
                <w:highlight w:val="none"/>
              </w:rPr>
              <w:t xml:space="preserve">       202</w:t>
            </w:r>
            <w:r>
              <w:rPr>
                <w:rFonts w:hint="eastAsia" w:ascii="宋体" w:hAnsi="宋体" w:cs="宋体"/>
                <w:color w:val="auto"/>
                <w:sz w:val="30"/>
                <w:highlight w:val="none"/>
                <w:lang w:val="en-US" w:eastAsia="zh-CN"/>
              </w:rPr>
              <w:t>5</w:t>
            </w:r>
            <w:r>
              <w:rPr>
                <w:rFonts w:hint="eastAsia" w:ascii="宋体" w:hAnsi="宋体" w:cs="宋体"/>
                <w:color w:val="auto"/>
                <w:sz w:val="30"/>
                <w:highlight w:val="none"/>
              </w:rPr>
              <w:t>年</w:t>
            </w:r>
            <w:r>
              <w:rPr>
                <w:rFonts w:hint="eastAsia" w:ascii="宋体" w:hAnsi="宋体" w:cs="宋体"/>
                <w:color w:val="auto"/>
                <w:sz w:val="30"/>
                <w:highlight w:val="none"/>
                <w:lang w:val="en-US" w:eastAsia="zh-CN"/>
              </w:rPr>
              <w:t>4</w:t>
            </w:r>
            <w:r>
              <w:rPr>
                <w:rFonts w:hint="eastAsia" w:ascii="宋体" w:hAnsi="宋体" w:cs="宋体"/>
                <w:color w:val="auto"/>
                <w:sz w:val="30"/>
                <w:highlight w:val="none"/>
              </w:rPr>
              <w:t>月</w:t>
            </w:r>
          </w:p>
        </w:tc>
      </w:tr>
      <w:bookmarkEnd w:id="0"/>
      <w:bookmarkEnd w:id="1"/>
      <w:bookmarkEnd w:id="2"/>
      <w:bookmarkEnd w:id="3"/>
    </w:tbl>
    <w:p w14:paraId="3A3FF880">
      <w:pPr>
        <w:rPr>
          <w:rFonts w:ascii="宋体" w:hAnsi="宋体" w:cs="宋体"/>
          <w:color w:val="auto"/>
          <w:highlight w:val="none"/>
        </w:rPr>
      </w:pPr>
    </w:p>
    <w:bookmarkEnd w:id="173"/>
    <w:sectPr>
      <w:pgSz w:w="11906" w:h="16838"/>
      <w:pgMar w:top="1134" w:right="1417" w:bottom="1134" w:left="1417" w:header="850"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1" w:usb3="00000000" w:csb0="400001BF" w:csb1="DFF70000"/>
  </w:font>
  <w:font w:name="TimesNewRomanPS-BoldMT">
    <w:altName w:val="微软雅黑"/>
    <w:panose1 w:val="00000000000000000000"/>
    <w:charset w:val="00"/>
    <w:family w:val="roman"/>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2000019F" w:csb1="4F01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E185">
    <w:pPr>
      <w:snapToGrid w:val="0"/>
      <w:jc w:val="lef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2421255</wp:posOffset>
              </wp:positionH>
              <wp:positionV relativeFrom="paragraph">
                <wp:posOffset>0</wp:posOffset>
              </wp:positionV>
              <wp:extent cx="1099820" cy="17145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099820" cy="171450"/>
                      </a:xfrm>
                      <a:prstGeom prst="rect">
                        <a:avLst/>
                      </a:prstGeom>
                      <a:noFill/>
                      <a:ln>
                        <a:noFill/>
                      </a:ln>
                    </wps:spPr>
                    <wps:txbx>
                      <w:txbxContent>
                        <w:p w14:paraId="1257B64A">
                          <w:pPr>
                            <w:pStyle w:val="18"/>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61</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wps:wsp>
                </a:graphicData>
              </a:graphic>
            </wp:anchor>
          </w:drawing>
        </mc:Choice>
        <mc:Fallback>
          <w:pict>
            <v:shape id="文本框 1027" o:spid="_x0000_s1026" o:spt="202" type="#_x0000_t202" style="position:absolute;left:0pt;margin-left:190.65pt;margin-top:0pt;height:13.5pt;width:86.6pt;mso-position-horizontal-relative:margin;z-index:251662336;mso-width-relative:page;mso-height-relative:page;" filled="f" stroked="f" coordsize="21600,21600" o:gfxdata="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y10BdcAAAAHAQAADwAAAAAAAAABACAAAAAiAAAAZHJzL2Rvd25yZXYueG1sUEsBAhQAFAAA&#10;AAgAh07iQC/AwkO3AQAAaQMAAA4AAAAAAAAAAQAgAAAAJgEAAGRycy9lMm9Eb2MueG1sUEsFBgAA&#10;AAAGAAYAWQEAAE8FAAAAAA==&#10;">
              <v:fill on="f" focussize="0,0"/>
              <v:stroke on="f"/>
              <v:imagedata o:title=""/>
              <o:lock v:ext="edit" aspectratio="f"/>
              <v:textbox inset="0mm,0mm,0mm,0mm">
                <w:txbxContent>
                  <w:p w14:paraId="1257B64A">
                    <w:pPr>
                      <w:pStyle w:val="18"/>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61</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51E3">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A18D9">
                          <w:pPr>
                            <w:pStyle w:val="18"/>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472A18D9">
                    <w:pPr>
                      <w:pStyle w:val="18"/>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AB3A">
    <w:pPr>
      <w:pStyle w:val="18"/>
      <w:ind w:right="360"/>
      <w:jc w:val="both"/>
      <w:rPr>
        <w:kern w:val="0"/>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00FF7C">
                          <w:pPr>
                            <w:pStyle w:val="18"/>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16</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hOP/OAQAAm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pORyoN/f4jYQu4soY5QUzEcWeY2rVfaif/9nHX/S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oYTj/zgEAAJoDAAAOAAAAAAAAAAEAIAAAACIBAABk&#10;cnMvZTJvRG9jLnhtbFBLBQYAAAAABgAGAFkBAABiBQAAAAA=&#10;">
              <v:fill on="f" focussize="0,0"/>
              <v:stroke on="f" weight="1.25pt"/>
              <v:imagedata o:title=""/>
              <o:lock v:ext="edit" aspectratio="f"/>
              <v:textbox inset="0mm,0mm,0mm,0mm" style="mso-fit-shape-to-text:t;">
                <w:txbxContent>
                  <w:p w14:paraId="3300FF7C">
                    <w:pPr>
                      <w:pStyle w:val="18"/>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16</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E41C">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6D83BCC1">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Q3lE0gAAAAQBAAAPAAAAAAAAAAEAIAAAACIAAABkcnMvZG93bnJldi54&#10;bWxQSwECFAAUAAAACACHTuJASMAUvccBAACLAwAADgAAAAAAAAABACAAAAAhAQAAZHJzL2Uyb0Rv&#10;Yy54bWxQSwUGAAAAAAYABgBZAQAAWgUAAAAA&#10;">
              <v:fill on="f" focussize="0,0"/>
              <v:stroke on="f"/>
              <v:imagedata o:title=""/>
              <o:lock v:ext="edit" aspectratio="f"/>
              <v:textbox inset="0mm,0mm,0mm,0mm" style="mso-fit-shape-to-text:t;">
                <w:txbxContent>
                  <w:p w14:paraId="6D83BCC1">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C830">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9D9DC"/>
    <w:multiLevelType w:val="singleLevel"/>
    <w:tmpl w:val="8739D9DC"/>
    <w:lvl w:ilvl="0" w:tentative="0">
      <w:start w:val="4"/>
      <w:numFmt w:val="decimal"/>
      <w:suff w:val="nothing"/>
      <w:lvlText w:val="%1、"/>
      <w:lvlJc w:val="left"/>
    </w:lvl>
  </w:abstractNum>
  <w:abstractNum w:abstractNumId="1">
    <w:nsid w:val="96214A8C"/>
    <w:multiLevelType w:val="singleLevel"/>
    <w:tmpl w:val="96214A8C"/>
    <w:lvl w:ilvl="0" w:tentative="0">
      <w:start w:val="1"/>
      <w:numFmt w:val="decimal"/>
      <w:suff w:val="nothing"/>
      <w:lvlText w:val="%1、"/>
      <w:lvlJc w:val="left"/>
    </w:lvl>
  </w:abstractNum>
  <w:abstractNum w:abstractNumId="2">
    <w:nsid w:val="9B06A478"/>
    <w:multiLevelType w:val="singleLevel"/>
    <w:tmpl w:val="9B06A478"/>
    <w:lvl w:ilvl="0" w:tentative="0">
      <w:start w:val="1"/>
      <w:numFmt w:val="decimal"/>
      <w:suff w:val="nothing"/>
      <w:lvlText w:val="%1、"/>
      <w:lvlJc w:val="left"/>
    </w:lvl>
  </w:abstractNum>
  <w:abstractNum w:abstractNumId="3">
    <w:nsid w:val="ADBEC9EC"/>
    <w:multiLevelType w:val="singleLevel"/>
    <w:tmpl w:val="ADBEC9EC"/>
    <w:lvl w:ilvl="0" w:tentative="0">
      <w:start w:val="7"/>
      <w:numFmt w:val="decimal"/>
      <w:suff w:val="space"/>
      <w:lvlText w:val="%1、"/>
      <w:lvlJc w:val="left"/>
    </w:lvl>
  </w:abstractNum>
  <w:abstractNum w:abstractNumId="4">
    <w:nsid w:val="C67261F0"/>
    <w:multiLevelType w:val="singleLevel"/>
    <w:tmpl w:val="C67261F0"/>
    <w:lvl w:ilvl="0" w:tentative="0">
      <w:start w:val="1"/>
      <w:numFmt w:val="decimal"/>
      <w:suff w:val="nothing"/>
      <w:lvlText w:val="%1、"/>
      <w:lvlJc w:val="left"/>
    </w:lvl>
  </w:abstractNum>
  <w:abstractNum w:abstractNumId="5">
    <w:nsid w:val="D75D2E49"/>
    <w:multiLevelType w:val="singleLevel"/>
    <w:tmpl w:val="D75D2E49"/>
    <w:lvl w:ilvl="0" w:tentative="0">
      <w:start w:val="1"/>
      <w:numFmt w:val="decimal"/>
      <w:suff w:val="nothing"/>
      <w:lvlText w:val="%1、"/>
      <w:lvlJc w:val="left"/>
    </w:lvl>
  </w:abstractNum>
  <w:abstractNum w:abstractNumId="6">
    <w:nsid w:val="E65F4DA8"/>
    <w:multiLevelType w:val="singleLevel"/>
    <w:tmpl w:val="E65F4DA8"/>
    <w:lvl w:ilvl="0" w:tentative="0">
      <w:start w:val="9"/>
      <w:numFmt w:val="decimal"/>
      <w:lvlText w:val="%1."/>
      <w:lvlJc w:val="left"/>
      <w:pPr>
        <w:tabs>
          <w:tab w:val="left" w:pos="312"/>
        </w:tabs>
      </w:pPr>
    </w:lvl>
  </w:abstractNum>
  <w:abstractNum w:abstractNumId="7">
    <w:nsid w:val="0825A70D"/>
    <w:multiLevelType w:val="singleLevel"/>
    <w:tmpl w:val="0825A70D"/>
    <w:lvl w:ilvl="0" w:tentative="0">
      <w:start w:val="1"/>
      <w:numFmt w:val="decimal"/>
      <w:suff w:val="nothing"/>
      <w:lvlText w:val="%1、"/>
      <w:lvlJc w:val="left"/>
    </w:lvl>
  </w:abstractNum>
  <w:abstractNum w:abstractNumId="8">
    <w:nsid w:val="307B84A7"/>
    <w:multiLevelType w:val="singleLevel"/>
    <w:tmpl w:val="307B84A7"/>
    <w:lvl w:ilvl="0" w:tentative="0">
      <w:start w:val="1"/>
      <w:numFmt w:val="decimal"/>
      <w:suff w:val="nothing"/>
      <w:lvlText w:val="%1、"/>
      <w:lvlJc w:val="left"/>
    </w:lvl>
  </w:abstractNum>
  <w:abstractNum w:abstractNumId="9">
    <w:nsid w:val="3465C037"/>
    <w:multiLevelType w:val="singleLevel"/>
    <w:tmpl w:val="3465C037"/>
    <w:lvl w:ilvl="0" w:tentative="0">
      <w:start w:val="1"/>
      <w:numFmt w:val="decimal"/>
      <w:suff w:val="nothing"/>
      <w:lvlText w:val="%1、"/>
      <w:lvlJc w:val="left"/>
    </w:lvl>
  </w:abstractNum>
  <w:abstractNum w:abstractNumId="10">
    <w:nsid w:val="3B4BA874"/>
    <w:multiLevelType w:val="singleLevel"/>
    <w:tmpl w:val="3B4BA874"/>
    <w:lvl w:ilvl="0" w:tentative="0">
      <w:start w:val="1"/>
      <w:numFmt w:val="decimal"/>
      <w:suff w:val="nothing"/>
      <w:lvlText w:val="%1、"/>
      <w:lvlJc w:val="left"/>
      <w:pPr>
        <w:ind w:left="0" w:firstLine="0"/>
      </w:pPr>
      <w:rPr>
        <w:rFonts w:hint="eastAsia"/>
      </w:rPr>
    </w:lvl>
  </w:abstractNum>
  <w:abstractNum w:abstractNumId="11">
    <w:nsid w:val="5608076A"/>
    <w:multiLevelType w:val="singleLevel"/>
    <w:tmpl w:val="5608076A"/>
    <w:lvl w:ilvl="0" w:tentative="0">
      <w:start w:val="1"/>
      <w:numFmt w:val="decimal"/>
      <w:lvlText w:val="%1."/>
      <w:lvlJc w:val="left"/>
      <w:pPr>
        <w:tabs>
          <w:tab w:val="left" w:pos="312"/>
        </w:tabs>
      </w:pPr>
    </w:lvl>
  </w:abstractNum>
  <w:abstractNum w:abstractNumId="12">
    <w:nsid w:val="58E8E588"/>
    <w:multiLevelType w:val="singleLevel"/>
    <w:tmpl w:val="58E8E588"/>
    <w:lvl w:ilvl="0" w:tentative="0">
      <w:start w:val="1"/>
      <w:numFmt w:val="decimal"/>
      <w:lvlText w:val="%1."/>
      <w:lvlJc w:val="left"/>
      <w:pPr>
        <w:ind w:left="425" w:hanging="425"/>
      </w:pPr>
      <w:rPr>
        <w:rFonts w:hint="default"/>
      </w:rPr>
    </w:lvl>
  </w:abstractNum>
  <w:abstractNum w:abstractNumId="13">
    <w:nsid w:val="7EF26347"/>
    <w:multiLevelType w:val="singleLevel"/>
    <w:tmpl w:val="7EF26347"/>
    <w:lvl w:ilvl="0" w:tentative="0">
      <w:start w:val="1"/>
      <w:numFmt w:val="decimal"/>
      <w:suff w:val="nothing"/>
      <w:lvlText w:val="%1、"/>
      <w:lvlJc w:val="left"/>
    </w:lvl>
  </w:abstractNum>
  <w:num w:numId="1">
    <w:abstractNumId w:val="6"/>
  </w:num>
  <w:num w:numId="2">
    <w:abstractNumId w:val="5"/>
  </w:num>
  <w:num w:numId="3">
    <w:abstractNumId w:val="10"/>
  </w:num>
  <w:num w:numId="4">
    <w:abstractNumId w:val="0"/>
  </w:num>
  <w:num w:numId="5">
    <w:abstractNumId w:val="13"/>
  </w:num>
  <w:num w:numId="6">
    <w:abstractNumId w:val="4"/>
  </w:num>
  <w:num w:numId="7">
    <w:abstractNumId w:val="8"/>
  </w:num>
  <w:num w:numId="8">
    <w:abstractNumId w:val="9"/>
  </w:num>
  <w:num w:numId="9">
    <w:abstractNumId w:val="7"/>
  </w:num>
  <w:num w:numId="10">
    <w:abstractNumId w:val="1"/>
  </w:num>
  <w:num w:numId="11">
    <w:abstractNumId w:val="2"/>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6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Y2NjMTA2OGY2YzgxNDNlNTNhZjEzMjRhOTZiNTEifQ=="/>
  </w:docVars>
  <w:rsids>
    <w:rsidRoot w:val="0038170E"/>
    <w:rsid w:val="0000026B"/>
    <w:rsid w:val="00001462"/>
    <w:rsid w:val="000014C0"/>
    <w:rsid w:val="00001779"/>
    <w:rsid w:val="00001EED"/>
    <w:rsid w:val="0000265A"/>
    <w:rsid w:val="00002937"/>
    <w:rsid w:val="000032C8"/>
    <w:rsid w:val="00006578"/>
    <w:rsid w:val="00007982"/>
    <w:rsid w:val="00007A55"/>
    <w:rsid w:val="0001059F"/>
    <w:rsid w:val="000108ED"/>
    <w:rsid w:val="00010CA6"/>
    <w:rsid w:val="00010CCD"/>
    <w:rsid w:val="00010EA5"/>
    <w:rsid w:val="00011E33"/>
    <w:rsid w:val="00012101"/>
    <w:rsid w:val="00013337"/>
    <w:rsid w:val="00013ACB"/>
    <w:rsid w:val="000145C1"/>
    <w:rsid w:val="000162EB"/>
    <w:rsid w:val="00017BDB"/>
    <w:rsid w:val="00017D43"/>
    <w:rsid w:val="000203D9"/>
    <w:rsid w:val="000205E0"/>
    <w:rsid w:val="00020903"/>
    <w:rsid w:val="00023CCF"/>
    <w:rsid w:val="000275D4"/>
    <w:rsid w:val="00027C35"/>
    <w:rsid w:val="00031228"/>
    <w:rsid w:val="00031915"/>
    <w:rsid w:val="00032766"/>
    <w:rsid w:val="00032A31"/>
    <w:rsid w:val="00033028"/>
    <w:rsid w:val="000345D9"/>
    <w:rsid w:val="00034848"/>
    <w:rsid w:val="0003501F"/>
    <w:rsid w:val="00036C65"/>
    <w:rsid w:val="000415FD"/>
    <w:rsid w:val="00041939"/>
    <w:rsid w:val="000419EC"/>
    <w:rsid w:val="00042249"/>
    <w:rsid w:val="0004305E"/>
    <w:rsid w:val="00043076"/>
    <w:rsid w:val="00043C98"/>
    <w:rsid w:val="00045A4E"/>
    <w:rsid w:val="00045A6F"/>
    <w:rsid w:val="00046DF3"/>
    <w:rsid w:val="000472C4"/>
    <w:rsid w:val="000475E9"/>
    <w:rsid w:val="0004764B"/>
    <w:rsid w:val="000479B9"/>
    <w:rsid w:val="00047D86"/>
    <w:rsid w:val="0005185E"/>
    <w:rsid w:val="000521A9"/>
    <w:rsid w:val="00052FCA"/>
    <w:rsid w:val="00053369"/>
    <w:rsid w:val="000533A9"/>
    <w:rsid w:val="0005362C"/>
    <w:rsid w:val="000539DE"/>
    <w:rsid w:val="00053A5A"/>
    <w:rsid w:val="00053BB4"/>
    <w:rsid w:val="000540F9"/>
    <w:rsid w:val="00055C4A"/>
    <w:rsid w:val="00056A7D"/>
    <w:rsid w:val="00056F2F"/>
    <w:rsid w:val="000577BD"/>
    <w:rsid w:val="00057AB6"/>
    <w:rsid w:val="00060E82"/>
    <w:rsid w:val="000620D0"/>
    <w:rsid w:val="00063E24"/>
    <w:rsid w:val="0006578C"/>
    <w:rsid w:val="0006687E"/>
    <w:rsid w:val="00066BF8"/>
    <w:rsid w:val="000719A0"/>
    <w:rsid w:val="00072653"/>
    <w:rsid w:val="000729AD"/>
    <w:rsid w:val="00072CF9"/>
    <w:rsid w:val="00075760"/>
    <w:rsid w:val="000758A6"/>
    <w:rsid w:val="000763B0"/>
    <w:rsid w:val="00077412"/>
    <w:rsid w:val="00077EFA"/>
    <w:rsid w:val="000828E5"/>
    <w:rsid w:val="000829E5"/>
    <w:rsid w:val="00083075"/>
    <w:rsid w:val="0008325F"/>
    <w:rsid w:val="00083A28"/>
    <w:rsid w:val="00083B38"/>
    <w:rsid w:val="00084560"/>
    <w:rsid w:val="00086541"/>
    <w:rsid w:val="00086BFE"/>
    <w:rsid w:val="00086C2C"/>
    <w:rsid w:val="00087499"/>
    <w:rsid w:val="0009043F"/>
    <w:rsid w:val="00090742"/>
    <w:rsid w:val="00091980"/>
    <w:rsid w:val="00092A9B"/>
    <w:rsid w:val="00094223"/>
    <w:rsid w:val="00094437"/>
    <w:rsid w:val="000946F3"/>
    <w:rsid w:val="000950C6"/>
    <w:rsid w:val="000952E1"/>
    <w:rsid w:val="0009660D"/>
    <w:rsid w:val="000973D1"/>
    <w:rsid w:val="0009789D"/>
    <w:rsid w:val="000A1806"/>
    <w:rsid w:val="000A1DF4"/>
    <w:rsid w:val="000A6721"/>
    <w:rsid w:val="000A6C0F"/>
    <w:rsid w:val="000B139F"/>
    <w:rsid w:val="000B2822"/>
    <w:rsid w:val="000B3798"/>
    <w:rsid w:val="000B53EC"/>
    <w:rsid w:val="000B58B9"/>
    <w:rsid w:val="000B6532"/>
    <w:rsid w:val="000B6837"/>
    <w:rsid w:val="000B6D0F"/>
    <w:rsid w:val="000B6F2F"/>
    <w:rsid w:val="000B70C3"/>
    <w:rsid w:val="000B7173"/>
    <w:rsid w:val="000B7B55"/>
    <w:rsid w:val="000B7D6D"/>
    <w:rsid w:val="000C05F6"/>
    <w:rsid w:val="000C13EB"/>
    <w:rsid w:val="000C27A8"/>
    <w:rsid w:val="000C4B5A"/>
    <w:rsid w:val="000C514F"/>
    <w:rsid w:val="000C53DB"/>
    <w:rsid w:val="000C5A75"/>
    <w:rsid w:val="000C5D53"/>
    <w:rsid w:val="000C5EC6"/>
    <w:rsid w:val="000C6079"/>
    <w:rsid w:val="000C6461"/>
    <w:rsid w:val="000C6C2E"/>
    <w:rsid w:val="000C7022"/>
    <w:rsid w:val="000C7213"/>
    <w:rsid w:val="000C7290"/>
    <w:rsid w:val="000C7CE2"/>
    <w:rsid w:val="000D0430"/>
    <w:rsid w:val="000D08ED"/>
    <w:rsid w:val="000D2737"/>
    <w:rsid w:val="000D354B"/>
    <w:rsid w:val="000D41E6"/>
    <w:rsid w:val="000D5A87"/>
    <w:rsid w:val="000D5E0E"/>
    <w:rsid w:val="000D6033"/>
    <w:rsid w:val="000D7481"/>
    <w:rsid w:val="000E085D"/>
    <w:rsid w:val="000E0F54"/>
    <w:rsid w:val="000E1895"/>
    <w:rsid w:val="000E1A40"/>
    <w:rsid w:val="000E3B58"/>
    <w:rsid w:val="000E40AE"/>
    <w:rsid w:val="000E41F8"/>
    <w:rsid w:val="000E42CA"/>
    <w:rsid w:val="000E4C7D"/>
    <w:rsid w:val="000E564A"/>
    <w:rsid w:val="000E5DBF"/>
    <w:rsid w:val="000E610D"/>
    <w:rsid w:val="000E77AE"/>
    <w:rsid w:val="000E7C99"/>
    <w:rsid w:val="000F4C93"/>
    <w:rsid w:val="000F5948"/>
    <w:rsid w:val="000F7736"/>
    <w:rsid w:val="00100CB8"/>
    <w:rsid w:val="001017EA"/>
    <w:rsid w:val="001018E0"/>
    <w:rsid w:val="00102683"/>
    <w:rsid w:val="00102994"/>
    <w:rsid w:val="00103422"/>
    <w:rsid w:val="00103BA0"/>
    <w:rsid w:val="0010491A"/>
    <w:rsid w:val="001049E9"/>
    <w:rsid w:val="00104B78"/>
    <w:rsid w:val="001103C5"/>
    <w:rsid w:val="001106DA"/>
    <w:rsid w:val="00111CEE"/>
    <w:rsid w:val="00111F8A"/>
    <w:rsid w:val="0011351C"/>
    <w:rsid w:val="001135D3"/>
    <w:rsid w:val="00113B31"/>
    <w:rsid w:val="00114090"/>
    <w:rsid w:val="00114B48"/>
    <w:rsid w:val="001165C8"/>
    <w:rsid w:val="00116951"/>
    <w:rsid w:val="00116972"/>
    <w:rsid w:val="00120064"/>
    <w:rsid w:val="00121671"/>
    <w:rsid w:val="00121955"/>
    <w:rsid w:val="00121D13"/>
    <w:rsid w:val="00123C61"/>
    <w:rsid w:val="00124013"/>
    <w:rsid w:val="001258C3"/>
    <w:rsid w:val="0012639F"/>
    <w:rsid w:val="00126938"/>
    <w:rsid w:val="0012758A"/>
    <w:rsid w:val="001312AE"/>
    <w:rsid w:val="001314E4"/>
    <w:rsid w:val="00132E03"/>
    <w:rsid w:val="001330B1"/>
    <w:rsid w:val="00134481"/>
    <w:rsid w:val="001346E8"/>
    <w:rsid w:val="001349E0"/>
    <w:rsid w:val="0013515C"/>
    <w:rsid w:val="001369DD"/>
    <w:rsid w:val="00136D03"/>
    <w:rsid w:val="001373B6"/>
    <w:rsid w:val="00140195"/>
    <w:rsid w:val="001411FF"/>
    <w:rsid w:val="00142F0C"/>
    <w:rsid w:val="001433DB"/>
    <w:rsid w:val="00143C27"/>
    <w:rsid w:val="001440D8"/>
    <w:rsid w:val="00144D62"/>
    <w:rsid w:val="00150AA2"/>
    <w:rsid w:val="00151E8D"/>
    <w:rsid w:val="001533D0"/>
    <w:rsid w:val="00155215"/>
    <w:rsid w:val="001559A5"/>
    <w:rsid w:val="00156057"/>
    <w:rsid w:val="00157D7F"/>
    <w:rsid w:val="00160695"/>
    <w:rsid w:val="00160867"/>
    <w:rsid w:val="00161293"/>
    <w:rsid w:val="0016155A"/>
    <w:rsid w:val="00163598"/>
    <w:rsid w:val="00163F00"/>
    <w:rsid w:val="001640CC"/>
    <w:rsid w:val="001645BE"/>
    <w:rsid w:val="001648BB"/>
    <w:rsid w:val="00164F51"/>
    <w:rsid w:val="00165088"/>
    <w:rsid w:val="001651CB"/>
    <w:rsid w:val="001666E7"/>
    <w:rsid w:val="00166ABE"/>
    <w:rsid w:val="00170821"/>
    <w:rsid w:val="00170C15"/>
    <w:rsid w:val="001725BE"/>
    <w:rsid w:val="00172949"/>
    <w:rsid w:val="0017407E"/>
    <w:rsid w:val="001745E8"/>
    <w:rsid w:val="00174D99"/>
    <w:rsid w:val="00175A26"/>
    <w:rsid w:val="0017601F"/>
    <w:rsid w:val="0017627B"/>
    <w:rsid w:val="00177D9E"/>
    <w:rsid w:val="0018045B"/>
    <w:rsid w:val="001825A6"/>
    <w:rsid w:val="00182933"/>
    <w:rsid w:val="00183271"/>
    <w:rsid w:val="00183910"/>
    <w:rsid w:val="00183998"/>
    <w:rsid w:val="00184F14"/>
    <w:rsid w:val="0018574A"/>
    <w:rsid w:val="00185844"/>
    <w:rsid w:val="0018589A"/>
    <w:rsid w:val="00186134"/>
    <w:rsid w:val="00190937"/>
    <w:rsid w:val="00190DA7"/>
    <w:rsid w:val="00191840"/>
    <w:rsid w:val="00194AF8"/>
    <w:rsid w:val="0019568A"/>
    <w:rsid w:val="00197123"/>
    <w:rsid w:val="001A0DF3"/>
    <w:rsid w:val="001A0FF2"/>
    <w:rsid w:val="001A2A48"/>
    <w:rsid w:val="001A31D2"/>
    <w:rsid w:val="001A32DB"/>
    <w:rsid w:val="001A3358"/>
    <w:rsid w:val="001A3F53"/>
    <w:rsid w:val="001A69D8"/>
    <w:rsid w:val="001A78D1"/>
    <w:rsid w:val="001B18EE"/>
    <w:rsid w:val="001B1DBD"/>
    <w:rsid w:val="001B2880"/>
    <w:rsid w:val="001B434C"/>
    <w:rsid w:val="001B4D32"/>
    <w:rsid w:val="001B544E"/>
    <w:rsid w:val="001B6802"/>
    <w:rsid w:val="001B74B4"/>
    <w:rsid w:val="001C00C0"/>
    <w:rsid w:val="001C1B29"/>
    <w:rsid w:val="001C2DA2"/>
    <w:rsid w:val="001C3A44"/>
    <w:rsid w:val="001C3FE9"/>
    <w:rsid w:val="001C41F5"/>
    <w:rsid w:val="001C41F8"/>
    <w:rsid w:val="001C53E4"/>
    <w:rsid w:val="001C57EB"/>
    <w:rsid w:val="001C65A5"/>
    <w:rsid w:val="001C70FC"/>
    <w:rsid w:val="001C78B7"/>
    <w:rsid w:val="001D00B5"/>
    <w:rsid w:val="001D00BE"/>
    <w:rsid w:val="001D52BE"/>
    <w:rsid w:val="001D64BD"/>
    <w:rsid w:val="001D7BF6"/>
    <w:rsid w:val="001E14C1"/>
    <w:rsid w:val="001E1644"/>
    <w:rsid w:val="001E1941"/>
    <w:rsid w:val="001E3F7E"/>
    <w:rsid w:val="001E4085"/>
    <w:rsid w:val="001E5B11"/>
    <w:rsid w:val="001E5E48"/>
    <w:rsid w:val="001E6366"/>
    <w:rsid w:val="001E6396"/>
    <w:rsid w:val="001E7067"/>
    <w:rsid w:val="001E724A"/>
    <w:rsid w:val="001E75FD"/>
    <w:rsid w:val="001F27F9"/>
    <w:rsid w:val="001F317F"/>
    <w:rsid w:val="001F3741"/>
    <w:rsid w:val="001F557E"/>
    <w:rsid w:val="001F56CA"/>
    <w:rsid w:val="002009B3"/>
    <w:rsid w:val="00200AD4"/>
    <w:rsid w:val="00200D7D"/>
    <w:rsid w:val="002010A6"/>
    <w:rsid w:val="002036C3"/>
    <w:rsid w:val="002037FA"/>
    <w:rsid w:val="00203FFE"/>
    <w:rsid w:val="00204180"/>
    <w:rsid w:val="002047F3"/>
    <w:rsid w:val="002062E6"/>
    <w:rsid w:val="002073F8"/>
    <w:rsid w:val="00207A11"/>
    <w:rsid w:val="0021002F"/>
    <w:rsid w:val="002102DC"/>
    <w:rsid w:val="00211D52"/>
    <w:rsid w:val="00213A60"/>
    <w:rsid w:val="00217047"/>
    <w:rsid w:val="00217ADF"/>
    <w:rsid w:val="00220F6B"/>
    <w:rsid w:val="002227B3"/>
    <w:rsid w:val="00223881"/>
    <w:rsid w:val="00226D34"/>
    <w:rsid w:val="00226DA7"/>
    <w:rsid w:val="002305B5"/>
    <w:rsid w:val="002328F6"/>
    <w:rsid w:val="00232CEF"/>
    <w:rsid w:val="00232E64"/>
    <w:rsid w:val="002337D9"/>
    <w:rsid w:val="00233A6A"/>
    <w:rsid w:val="00233AFF"/>
    <w:rsid w:val="00234B48"/>
    <w:rsid w:val="00234EE8"/>
    <w:rsid w:val="00235D1A"/>
    <w:rsid w:val="002367C9"/>
    <w:rsid w:val="00237049"/>
    <w:rsid w:val="00237979"/>
    <w:rsid w:val="002408F0"/>
    <w:rsid w:val="00240B85"/>
    <w:rsid w:val="00241675"/>
    <w:rsid w:val="002419C0"/>
    <w:rsid w:val="002422FF"/>
    <w:rsid w:val="00242C05"/>
    <w:rsid w:val="002440C2"/>
    <w:rsid w:val="002444DB"/>
    <w:rsid w:val="00244C84"/>
    <w:rsid w:val="00245301"/>
    <w:rsid w:val="00245D8B"/>
    <w:rsid w:val="00245F34"/>
    <w:rsid w:val="002467CF"/>
    <w:rsid w:val="0024762E"/>
    <w:rsid w:val="00247D89"/>
    <w:rsid w:val="0025151E"/>
    <w:rsid w:val="00251E17"/>
    <w:rsid w:val="00251E89"/>
    <w:rsid w:val="0025304B"/>
    <w:rsid w:val="002534BF"/>
    <w:rsid w:val="002545A6"/>
    <w:rsid w:val="002557E9"/>
    <w:rsid w:val="0025730D"/>
    <w:rsid w:val="002601C4"/>
    <w:rsid w:val="0026068A"/>
    <w:rsid w:val="00262539"/>
    <w:rsid w:val="002631D3"/>
    <w:rsid w:val="002634DD"/>
    <w:rsid w:val="0026372C"/>
    <w:rsid w:val="00263BCB"/>
    <w:rsid w:val="0026400B"/>
    <w:rsid w:val="00264EEC"/>
    <w:rsid w:val="00265FF2"/>
    <w:rsid w:val="002667C2"/>
    <w:rsid w:val="00266DD0"/>
    <w:rsid w:val="00272ABD"/>
    <w:rsid w:val="00272F5D"/>
    <w:rsid w:val="002747E8"/>
    <w:rsid w:val="00274DDD"/>
    <w:rsid w:val="00275450"/>
    <w:rsid w:val="002761A8"/>
    <w:rsid w:val="0027741B"/>
    <w:rsid w:val="00277BB9"/>
    <w:rsid w:val="0028070F"/>
    <w:rsid w:val="00281806"/>
    <w:rsid w:val="002829A2"/>
    <w:rsid w:val="00285556"/>
    <w:rsid w:val="00285DC2"/>
    <w:rsid w:val="00286029"/>
    <w:rsid w:val="002873BA"/>
    <w:rsid w:val="00287B94"/>
    <w:rsid w:val="00287F3E"/>
    <w:rsid w:val="0029048B"/>
    <w:rsid w:val="00293C53"/>
    <w:rsid w:val="00295781"/>
    <w:rsid w:val="002962E4"/>
    <w:rsid w:val="00296A12"/>
    <w:rsid w:val="002A036E"/>
    <w:rsid w:val="002A10AE"/>
    <w:rsid w:val="002A13AF"/>
    <w:rsid w:val="002A225E"/>
    <w:rsid w:val="002A2B97"/>
    <w:rsid w:val="002A2E16"/>
    <w:rsid w:val="002A34A1"/>
    <w:rsid w:val="002A3B36"/>
    <w:rsid w:val="002A5304"/>
    <w:rsid w:val="002A701A"/>
    <w:rsid w:val="002A7902"/>
    <w:rsid w:val="002B1140"/>
    <w:rsid w:val="002B11CF"/>
    <w:rsid w:val="002B1360"/>
    <w:rsid w:val="002B1D00"/>
    <w:rsid w:val="002B241D"/>
    <w:rsid w:val="002B2D95"/>
    <w:rsid w:val="002B4BA4"/>
    <w:rsid w:val="002B54A5"/>
    <w:rsid w:val="002B5548"/>
    <w:rsid w:val="002B63F4"/>
    <w:rsid w:val="002B7BEE"/>
    <w:rsid w:val="002C1392"/>
    <w:rsid w:val="002C1C44"/>
    <w:rsid w:val="002C5361"/>
    <w:rsid w:val="002C546E"/>
    <w:rsid w:val="002C645E"/>
    <w:rsid w:val="002C6627"/>
    <w:rsid w:val="002C7CC3"/>
    <w:rsid w:val="002D014B"/>
    <w:rsid w:val="002D09FA"/>
    <w:rsid w:val="002D269B"/>
    <w:rsid w:val="002D7918"/>
    <w:rsid w:val="002E095D"/>
    <w:rsid w:val="002E1C10"/>
    <w:rsid w:val="002E3AB5"/>
    <w:rsid w:val="002E457F"/>
    <w:rsid w:val="002E5D11"/>
    <w:rsid w:val="002E6EC8"/>
    <w:rsid w:val="002E7DAC"/>
    <w:rsid w:val="002F0774"/>
    <w:rsid w:val="002F3219"/>
    <w:rsid w:val="002F323B"/>
    <w:rsid w:val="002F329E"/>
    <w:rsid w:val="002F32A5"/>
    <w:rsid w:val="002F3A64"/>
    <w:rsid w:val="002F3B3C"/>
    <w:rsid w:val="002F4372"/>
    <w:rsid w:val="002F4D19"/>
    <w:rsid w:val="002F687F"/>
    <w:rsid w:val="002F7F31"/>
    <w:rsid w:val="00301883"/>
    <w:rsid w:val="00301BFB"/>
    <w:rsid w:val="00301FA2"/>
    <w:rsid w:val="00302A79"/>
    <w:rsid w:val="00302F80"/>
    <w:rsid w:val="00302FFB"/>
    <w:rsid w:val="00303053"/>
    <w:rsid w:val="0030337E"/>
    <w:rsid w:val="0030351C"/>
    <w:rsid w:val="00303595"/>
    <w:rsid w:val="00303923"/>
    <w:rsid w:val="00303A86"/>
    <w:rsid w:val="00303BB6"/>
    <w:rsid w:val="00304A32"/>
    <w:rsid w:val="00304B2B"/>
    <w:rsid w:val="00304EE3"/>
    <w:rsid w:val="00310C84"/>
    <w:rsid w:val="003114C6"/>
    <w:rsid w:val="00311A93"/>
    <w:rsid w:val="00312F68"/>
    <w:rsid w:val="0031341C"/>
    <w:rsid w:val="003140AE"/>
    <w:rsid w:val="003147FE"/>
    <w:rsid w:val="0031509A"/>
    <w:rsid w:val="0031560C"/>
    <w:rsid w:val="003178FB"/>
    <w:rsid w:val="00317DCD"/>
    <w:rsid w:val="00320C6B"/>
    <w:rsid w:val="0032175C"/>
    <w:rsid w:val="003222A6"/>
    <w:rsid w:val="003223B3"/>
    <w:rsid w:val="00322F4F"/>
    <w:rsid w:val="0032375E"/>
    <w:rsid w:val="0032406D"/>
    <w:rsid w:val="003243E7"/>
    <w:rsid w:val="003254B9"/>
    <w:rsid w:val="00326033"/>
    <w:rsid w:val="0032679F"/>
    <w:rsid w:val="003310FA"/>
    <w:rsid w:val="003317E0"/>
    <w:rsid w:val="00332D3B"/>
    <w:rsid w:val="003335CA"/>
    <w:rsid w:val="0033397A"/>
    <w:rsid w:val="003349AE"/>
    <w:rsid w:val="00335285"/>
    <w:rsid w:val="00335643"/>
    <w:rsid w:val="00336221"/>
    <w:rsid w:val="00340492"/>
    <w:rsid w:val="003407CA"/>
    <w:rsid w:val="0034191E"/>
    <w:rsid w:val="00341C31"/>
    <w:rsid w:val="003444FC"/>
    <w:rsid w:val="00344C2B"/>
    <w:rsid w:val="00344EF8"/>
    <w:rsid w:val="00345828"/>
    <w:rsid w:val="00346109"/>
    <w:rsid w:val="003469C8"/>
    <w:rsid w:val="0035121C"/>
    <w:rsid w:val="0035205C"/>
    <w:rsid w:val="00352072"/>
    <w:rsid w:val="00352361"/>
    <w:rsid w:val="00352621"/>
    <w:rsid w:val="00352732"/>
    <w:rsid w:val="00354F9A"/>
    <w:rsid w:val="00355E6D"/>
    <w:rsid w:val="003565B3"/>
    <w:rsid w:val="00356F1A"/>
    <w:rsid w:val="00356F3A"/>
    <w:rsid w:val="003574A7"/>
    <w:rsid w:val="00357CE9"/>
    <w:rsid w:val="0036039E"/>
    <w:rsid w:val="00360C49"/>
    <w:rsid w:val="00361618"/>
    <w:rsid w:val="0036173E"/>
    <w:rsid w:val="003622EE"/>
    <w:rsid w:val="0036289A"/>
    <w:rsid w:val="00363230"/>
    <w:rsid w:val="00363CE0"/>
    <w:rsid w:val="0036435B"/>
    <w:rsid w:val="003644BA"/>
    <w:rsid w:val="00364CB1"/>
    <w:rsid w:val="00365406"/>
    <w:rsid w:val="00365413"/>
    <w:rsid w:val="00365D91"/>
    <w:rsid w:val="003700D9"/>
    <w:rsid w:val="00370FAB"/>
    <w:rsid w:val="00371F62"/>
    <w:rsid w:val="00372FD0"/>
    <w:rsid w:val="003735A3"/>
    <w:rsid w:val="003739E6"/>
    <w:rsid w:val="003753F2"/>
    <w:rsid w:val="003755B1"/>
    <w:rsid w:val="00377D34"/>
    <w:rsid w:val="0038079F"/>
    <w:rsid w:val="00380CC4"/>
    <w:rsid w:val="00380FCB"/>
    <w:rsid w:val="0038170E"/>
    <w:rsid w:val="00381949"/>
    <w:rsid w:val="0038322B"/>
    <w:rsid w:val="00383AF6"/>
    <w:rsid w:val="00383AF7"/>
    <w:rsid w:val="00383D67"/>
    <w:rsid w:val="003849DE"/>
    <w:rsid w:val="00384DA9"/>
    <w:rsid w:val="003851A3"/>
    <w:rsid w:val="00385B1E"/>
    <w:rsid w:val="003866DF"/>
    <w:rsid w:val="003867B5"/>
    <w:rsid w:val="00387190"/>
    <w:rsid w:val="00387812"/>
    <w:rsid w:val="00387901"/>
    <w:rsid w:val="003906B0"/>
    <w:rsid w:val="00391D79"/>
    <w:rsid w:val="00391DB5"/>
    <w:rsid w:val="00392031"/>
    <w:rsid w:val="003926F0"/>
    <w:rsid w:val="00395593"/>
    <w:rsid w:val="00396307"/>
    <w:rsid w:val="003972CB"/>
    <w:rsid w:val="00397D00"/>
    <w:rsid w:val="003A027F"/>
    <w:rsid w:val="003A09FA"/>
    <w:rsid w:val="003A147E"/>
    <w:rsid w:val="003A1FD7"/>
    <w:rsid w:val="003A4BEA"/>
    <w:rsid w:val="003A4FBA"/>
    <w:rsid w:val="003A7A50"/>
    <w:rsid w:val="003B02F4"/>
    <w:rsid w:val="003B0A01"/>
    <w:rsid w:val="003B1793"/>
    <w:rsid w:val="003B2170"/>
    <w:rsid w:val="003B272D"/>
    <w:rsid w:val="003B2B35"/>
    <w:rsid w:val="003B3444"/>
    <w:rsid w:val="003B3969"/>
    <w:rsid w:val="003B3CEA"/>
    <w:rsid w:val="003B614D"/>
    <w:rsid w:val="003B70B9"/>
    <w:rsid w:val="003B784F"/>
    <w:rsid w:val="003B7E01"/>
    <w:rsid w:val="003C0659"/>
    <w:rsid w:val="003C0F43"/>
    <w:rsid w:val="003C12AB"/>
    <w:rsid w:val="003C1CD7"/>
    <w:rsid w:val="003C2670"/>
    <w:rsid w:val="003C2ECA"/>
    <w:rsid w:val="003C411A"/>
    <w:rsid w:val="003C4BEF"/>
    <w:rsid w:val="003C50D9"/>
    <w:rsid w:val="003C519A"/>
    <w:rsid w:val="003C56DB"/>
    <w:rsid w:val="003C6AC2"/>
    <w:rsid w:val="003C6CC7"/>
    <w:rsid w:val="003C6E29"/>
    <w:rsid w:val="003D06BA"/>
    <w:rsid w:val="003D14B1"/>
    <w:rsid w:val="003D201D"/>
    <w:rsid w:val="003D2B7C"/>
    <w:rsid w:val="003D421F"/>
    <w:rsid w:val="003D4AEC"/>
    <w:rsid w:val="003D55B8"/>
    <w:rsid w:val="003D6954"/>
    <w:rsid w:val="003D6F09"/>
    <w:rsid w:val="003D76F2"/>
    <w:rsid w:val="003D7A1A"/>
    <w:rsid w:val="003E00B0"/>
    <w:rsid w:val="003E0496"/>
    <w:rsid w:val="003E103E"/>
    <w:rsid w:val="003E2831"/>
    <w:rsid w:val="003E2846"/>
    <w:rsid w:val="003E36A7"/>
    <w:rsid w:val="003E3784"/>
    <w:rsid w:val="003E3E46"/>
    <w:rsid w:val="003E4CDA"/>
    <w:rsid w:val="003E5C8A"/>
    <w:rsid w:val="003E6528"/>
    <w:rsid w:val="003E6E1E"/>
    <w:rsid w:val="003E7565"/>
    <w:rsid w:val="003E7B76"/>
    <w:rsid w:val="003E7DFA"/>
    <w:rsid w:val="003F0C0B"/>
    <w:rsid w:val="003F0C81"/>
    <w:rsid w:val="003F328B"/>
    <w:rsid w:val="003F32AE"/>
    <w:rsid w:val="003F437D"/>
    <w:rsid w:val="003F4BA6"/>
    <w:rsid w:val="003F4EC1"/>
    <w:rsid w:val="003F5F2A"/>
    <w:rsid w:val="003F625F"/>
    <w:rsid w:val="003F6CC4"/>
    <w:rsid w:val="003F6E1A"/>
    <w:rsid w:val="003F6EB9"/>
    <w:rsid w:val="003F7E3C"/>
    <w:rsid w:val="00401F28"/>
    <w:rsid w:val="00402417"/>
    <w:rsid w:val="00404FA7"/>
    <w:rsid w:val="0040763B"/>
    <w:rsid w:val="004110F1"/>
    <w:rsid w:val="00411AD7"/>
    <w:rsid w:val="00411CA3"/>
    <w:rsid w:val="00412EE6"/>
    <w:rsid w:val="004132C7"/>
    <w:rsid w:val="00413776"/>
    <w:rsid w:val="00413D98"/>
    <w:rsid w:val="00413F22"/>
    <w:rsid w:val="00414DD0"/>
    <w:rsid w:val="0041584A"/>
    <w:rsid w:val="0041680F"/>
    <w:rsid w:val="00416BA4"/>
    <w:rsid w:val="00416D77"/>
    <w:rsid w:val="00420648"/>
    <w:rsid w:val="00424E19"/>
    <w:rsid w:val="00426849"/>
    <w:rsid w:val="00432073"/>
    <w:rsid w:val="004321DA"/>
    <w:rsid w:val="00433779"/>
    <w:rsid w:val="004339A9"/>
    <w:rsid w:val="00434A36"/>
    <w:rsid w:val="004356AB"/>
    <w:rsid w:val="00437488"/>
    <w:rsid w:val="004406AB"/>
    <w:rsid w:val="00442B9D"/>
    <w:rsid w:val="00442D1B"/>
    <w:rsid w:val="004445FD"/>
    <w:rsid w:val="0044481B"/>
    <w:rsid w:val="00444925"/>
    <w:rsid w:val="00445626"/>
    <w:rsid w:val="00445AE2"/>
    <w:rsid w:val="004466EC"/>
    <w:rsid w:val="00446FA0"/>
    <w:rsid w:val="0045068C"/>
    <w:rsid w:val="00450B9F"/>
    <w:rsid w:val="00451DA5"/>
    <w:rsid w:val="00451F0F"/>
    <w:rsid w:val="00454165"/>
    <w:rsid w:val="004548C2"/>
    <w:rsid w:val="00455484"/>
    <w:rsid w:val="004573F5"/>
    <w:rsid w:val="00457861"/>
    <w:rsid w:val="00460251"/>
    <w:rsid w:val="004606B7"/>
    <w:rsid w:val="00461798"/>
    <w:rsid w:val="004618A0"/>
    <w:rsid w:val="004632B9"/>
    <w:rsid w:val="0046485D"/>
    <w:rsid w:val="0046733C"/>
    <w:rsid w:val="00467757"/>
    <w:rsid w:val="00470B9F"/>
    <w:rsid w:val="004711DF"/>
    <w:rsid w:val="00471938"/>
    <w:rsid w:val="00472298"/>
    <w:rsid w:val="00472B3E"/>
    <w:rsid w:val="00474552"/>
    <w:rsid w:val="004758DF"/>
    <w:rsid w:val="00475926"/>
    <w:rsid w:val="004759D4"/>
    <w:rsid w:val="00476517"/>
    <w:rsid w:val="004767BB"/>
    <w:rsid w:val="00477741"/>
    <w:rsid w:val="00477E8F"/>
    <w:rsid w:val="0048075E"/>
    <w:rsid w:val="004808F8"/>
    <w:rsid w:val="00481714"/>
    <w:rsid w:val="0048257B"/>
    <w:rsid w:val="00482D2A"/>
    <w:rsid w:val="00485F77"/>
    <w:rsid w:val="004875DE"/>
    <w:rsid w:val="004907CC"/>
    <w:rsid w:val="00491334"/>
    <w:rsid w:val="00492693"/>
    <w:rsid w:val="00493852"/>
    <w:rsid w:val="00493A58"/>
    <w:rsid w:val="00494BFB"/>
    <w:rsid w:val="00495C85"/>
    <w:rsid w:val="004962F0"/>
    <w:rsid w:val="004963FF"/>
    <w:rsid w:val="004A03AC"/>
    <w:rsid w:val="004A244C"/>
    <w:rsid w:val="004A267A"/>
    <w:rsid w:val="004A2912"/>
    <w:rsid w:val="004A3574"/>
    <w:rsid w:val="004A401F"/>
    <w:rsid w:val="004A54ED"/>
    <w:rsid w:val="004A6D2B"/>
    <w:rsid w:val="004A7E7F"/>
    <w:rsid w:val="004B0781"/>
    <w:rsid w:val="004B0B6F"/>
    <w:rsid w:val="004B110D"/>
    <w:rsid w:val="004B2877"/>
    <w:rsid w:val="004B28BC"/>
    <w:rsid w:val="004B3C78"/>
    <w:rsid w:val="004B45F5"/>
    <w:rsid w:val="004B51DA"/>
    <w:rsid w:val="004B687B"/>
    <w:rsid w:val="004B72F0"/>
    <w:rsid w:val="004C0665"/>
    <w:rsid w:val="004C074A"/>
    <w:rsid w:val="004C0D63"/>
    <w:rsid w:val="004C0F0C"/>
    <w:rsid w:val="004C191D"/>
    <w:rsid w:val="004C43B9"/>
    <w:rsid w:val="004C4978"/>
    <w:rsid w:val="004C53A5"/>
    <w:rsid w:val="004C53C3"/>
    <w:rsid w:val="004C54CC"/>
    <w:rsid w:val="004C56E5"/>
    <w:rsid w:val="004D0206"/>
    <w:rsid w:val="004D2010"/>
    <w:rsid w:val="004D26F3"/>
    <w:rsid w:val="004D3D9F"/>
    <w:rsid w:val="004D3FDB"/>
    <w:rsid w:val="004D50F0"/>
    <w:rsid w:val="004D6248"/>
    <w:rsid w:val="004D6E67"/>
    <w:rsid w:val="004D6EF7"/>
    <w:rsid w:val="004E0560"/>
    <w:rsid w:val="004E090A"/>
    <w:rsid w:val="004E0C55"/>
    <w:rsid w:val="004E13F8"/>
    <w:rsid w:val="004E1848"/>
    <w:rsid w:val="004E1958"/>
    <w:rsid w:val="004E2804"/>
    <w:rsid w:val="004E2938"/>
    <w:rsid w:val="004E35A5"/>
    <w:rsid w:val="004E380D"/>
    <w:rsid w:val="004E46F2"/>
    <w:rsid w:val="004E4E48"/>
    <w:rsid w:val="004E54CD"/>
    <w:rsid w:val="004E6A04"/>
    <w:rsid w:val="004F131F"/>
    <w:rsid w:val="004F29E2"/>
    <w:rsid w:val="004F3499"/>
    <w:rsid w:val="004F38A6"/>
    <w:rsid w:val="004F3A57"/>
    <w:rsid w:val="004F3D59"/>
    <w:rsid w:val="004F593C"/>
    <w:rsid w:val="004F5F15"/>
    <w:rsid w:val="004F6E5C"/>
    <w:rsid w:val="004F7317"/>
    <w:rsid w:val="00500E63"/>
    <w:rsid w:val="005031FF"/>
    <w:rsid w:val="005034F3"/>
    <w:rsid w:val="0050371E"/>
    <w:rsid w:val="00503984"/>
    <w:rsid w:val="00504946"/>
    <w:rsid w:val="00506EBE"/>
    <w:rsid w:val="00507122"/>
    <w:rsid w:val="00507328"/>
    <w:rsid w:val="005109F6"/>
    <w:rsid w:val="00510AB4"/>
    <w:rsid w:val="00511DE7"/>
    <w:rsid w:val="0051206F"/>
    <w:rsid w:val="005120ED"/>
    <w:rsid w:val="00515CE4"/>
    <w:rsid w:val="005160F9"/>
    <w:rsid w:val="005166D8"/>
    <w:rsid w:val="00516793"/>
    <w:rsid w:val="005171C6"/>
    <w:rsid w:val="005203D7"/>
    <w:rsid w:val="005204BC"/>
    <w:rsid w:val="00520FC7"/>
    <w:rsid w:val="00522918"/>
    <w:rsid w:val="005229CD"/>
    <w:rsid w:val="00522BB1"/>
    <w:rsid w:val="00524183"/>
    <w:rsid w:val="0052441F"/>
    <w:rsid w:val="005245A0"/>
    <w:rsid w:val="00524F55"/>
    <w:rsid w:val="00525702"/>
    <w:rsid w:val="005261C1"/>
    <w:rsid w:val="0052737F"/>
    <w:rsid w:val="00531018"/>
    <w:rsid w:val="0053133A"/>
    <w:rsid w:val="00531DC1"/>
    <w:rsid w:val="005331AE"/>
    <w:rsid w:val="00533493"/>
    <w:rsid w:val="00535A8D"/>
    <w:rsid w:val="00535C49"/>
    <w:rsid w:val="00535DBB"/>
    <w:rsid w:val="00536361"/>
    <w:rsid w:val="00537732"/>
    <w:rsid w:val="0054037F"/>
    <w:rsid w:val="005406E4"/>
    <w:rsid w:val="005409E0"/>
    <w:rsid w:val="005409EF"/>
    <w:rsid w:val="00541BA7"/>
    <w:rsid w:val="005426C7"/>
    <w:rsid w:val="00542D5D"/>
    <w:rsid w:val="005435FC"/>
    <w:rsid w:val="00543CE3"/>
    <w:rsid w:val="00544196"/>
    <w:rsid w:val="00544298"/>
    <w:rsid w:val="005452B6"/>
    <w:rsid w:val="0054562A"/>
    <w:rsid w:val="0054581A"/>
    <w:rsid w:val="005458F3"/>
    <w:rsid w:val="00551CAD"/>
    <w:rsid w:val="0055472C"/>
    <w:rsid w:val="00554E73"/>
    <w:rsid w:val="00555960"/>
    <w:rsid w:val="005560F3"/>
    <w:rsid w:val="00556799"/>
    <w:rsid w:val="00556EAA"/>
    <w:rsid w:val="0055752D"/>
    <w:rsid w:val="005579F3"/>
    <w:rsid w:val="00560E06"/>
    <w:rsid w:val="00560F4F"/>
    <w:rsid w:val="00562706"/>
    <w:rsid w:val="00562C2F"/>
    <w:rsid w:val="00563CCE"/>
    <w:rsid w:val="00564B28"/>
    <w:rsid w:val="00565625"/>
    <w:rsid w:val="0056619B"/>
    <w:rsid w:val="005703AD"/>
    <w:rsid w:val="005722FD"/>
    <w:rsid w:val="00573CAC"/>
    <w:rsid w:val="00575563"/>
    <w:rsid w:val="005768C9"/>
    <w:rsid w:val="00580729"/>
    <w:rsid w:val="00581299"/>
    <w:rsid w:val="00582982"/>
    <w:rsid w:val="0058308A"/>
    <w:rsid w:val="00583C94"/>
    <w:rsid w:val="00584496"/>
    <w:rsid w:val="0058580F"/>
    <w:rsid w:val="005858C9"/>
    <w:rsid w:val="0058680C"/>
    <w:rsid w:val="00587355"/>
    <w:rsid w:val="00590526"/>
    <w:rsid w:val="00590E41"/>
    <w:rsid w:val="005941AD"/>
    <w:rsid w:val="00594802"/>
    <w:rsid w:val="00594A9B"/>
    <w:rsid w:val="00595527"/>
    <w:rsid w:val="00595756"/>
    <w:rsid w:val="0059654C"/>
    <w:rsid w:val="00597E3C"/>
    <w:rsid w:val="005A0AF1"/>
    <w:rsid w:val="005A11BE"/>
    <w:rsid w:val="005A17E5"/>
    <w:rsid w:val="005A1B2F"/>
    <w:rsid w:val="005A2352"/>
    <w:rsid w:val="005A3061"/>
    <w:rsid w:val="005A366E"/>
    <w:rsid w:val="005A51FA"/>
    <w:rsid w:val="005A59CC"/>
    <w:rsid w:val="005A5AB4"/>
    <w:rsid w:val="005A6403"/>
    <w:rsid w:val="005A656F"/>
    <w:rsid w:val="005A7D76"/>
    <w:rsid w:val="005B1D25"/>
    <w:rsid w:val="005B343F"/>
    <w:rsid w:val="005B5A43"/>
    <w:rsid w:val="005C03EA"/>
    <w:rsid w:val="005C088A"/>
    <w:rsid w:val="005C0BE6"/>
    <w:rsid w:val="005C148D"/>
    <w:rsid w:val="005C19EE"/>
    <w:rsid w:val="005C2FEB"/>
    <w:rsid w:val="005C3A32"/>
    <w:rsid w:val="005C4FFD"/>
    <w:rsid w:val="005C5321"/>
    <w:rsid w:val="005C5579"/>
    <w:rsid w:val="005C6ADC"/>
    <w:rsid w:val="005C6BD5"/>
    <w:rsid w:val="005C7068"/>
    <w:rsid w:val="005C7714"/>
    <w:rsid w:val="005D13AB"/>
    <w:rsid w:val="005D1A2B"/>
    <w:rsid w:val="005D278C"/>
    <w:rsid w:val="005D3674"/>
    <w:rsid w:val="005D3B79"/>
    <w:rsid w:val="005D4442"/>
    <w:rsid w:val="005D46D2"/>
    <w:rsid w:val="005D664F"/>
    <w:rsid w:val="005D77D6"/>
    <w:rsid w:val="005E02AA"/>
    <w:rsid w:val="005E06D7"/>
    <w:rsid w:val="005E1185"/>
    <w:rsid w:val="005E263A"/>
    <w:rsid w:val="005E5736"/>
    <w:rsid w:val="005E57AA"/>
    <w:rsid w:val="005E5ACA"/>
    <w:rsid w:val="005E7372"/>
    <w:rsid w:val="005F1AB9"/>
    <w:rsid w:val="005F1B49"/>
    <w:rsid w:val="005F2DC3"/>
    <w:rsid w:val="005F301B"/>
    <w:rsid w:val="005F3A78"/>
    <w:rsid w:val="005F3CBA"/>
    <w:rsid w:val="005F41D3"/>
    <w:rsid w:val="005F4C27"/>
    <w:rsid w:val="005F5ADF"/>
    <w:rsid w:val="005F60FD"/>
    <w:rsid w:val="005F7879"/>
    <w:rsid w:val="005F7BFB"/>
    <w:rsid w:val="005F7D5C"/>
    <w:rsid w:val="00600125"/>
    <w:rsid w:val="00600608"/>
    <w:rsid w:val="00601BC2"/>
    <w:rsid w:val="00603238"/>
    <w:rsid w:val="006035A3"/>
    <w:rsid w:val="006041DE"/>
    <w:rsid w:val="00604A70"/>
    <w:rsid w:val="00604BA6"/>
    <w:rsid w:val="00604DAB"/>
    <w:rsid w:val="00605283"/>
    <w:rsid w:val="0060605D"/>
    <w:rsid w:val="00607644"/>
    <w:rsid w:val="00607E2B"/>
    <w:rsid w:val="0061114F"/>
    <w:rsid w:val="00612624"/>
    <w:rsid w:val="0061306E"/>
    <w:rsid w:val="0061524A"/>
    <w:rsid w:val="006153A9"/>
    <w:rsid w:val="00615EA1"/>
    <w:rsid w:val="006167A1"/>
    <w:rsid w:val="00617960"/>
    <w:rsid w:val="00621C6A"/>
    <w:rsid w:val="00623594"/>
    <w:rsid w:val="0062551C"/>
    <w:rsid w:val="0062568A"/>
    <w:rsid w:val="00625FCE"/>
    <w:rsid w:val="0062627E"/>
    <w:rsid w:val="006269E1"/>
    <w:rsid w:val="00627226"/>
    <w:rsid w:val="0062750E"/>
    <w:rsid w:val="006275FF"/>
    <w:rsid w:val="006278F1"/>
    <w:rsid w:val="00627E6B"/>
    <w:rsid w:val="0063067E"/>
    <w:rsid w:val="00630C7B"/>
    <w:rsid w:val="00632013"/>
    <w:rsid w:val="006337CB"/>
    <w:rsid w:val="00633B69"/>
    <w:rsid w:val="00635234"/>
    <w:rsid w:val="00635B49"/>
    <w:rsid w:val="006360BD"/>
    <w:rsid w:val="0063758D"/>
    <w:rsid w:val="00637816"/>
    <w:rsid w:val="006378FC"/>
    <w:rsid w:val="00637E89"/>
    <w:rsid w:val="0064081E"/>
    <w:rsid w:val="006417F3"/>
    <w:rsid w:val="00642683"/>
    <w:rsid w:val="00642AFE"/>
    <w:rsid w:val="00643B44"/>
    <w:rsid w:val="00644356"/>
    <w:rsid w:val="00644544"/>
    <w:rsid w:val="0064499F"/>
    <w:rsid w:val="00645B44"/>
    <w:rsid w:val="0064624D"/>
    <w:rsid w:val="006467F0"/>
    <w:rsid w:val="006472A4"/>
    <w:rsid w:val="00647419"/>
    <w:rsid w:val="006478A6"/>
    <w:rsid w:val="00647AF8"/>
    <w:rsid w:val="006506D4"/>
    <w:rsid w:val="00650ABE"/>
    <w:rsid w:val="006511BE"/>
    <w:rsid w:val="006516AC"/>
    <w:rsid w:val="00652BCE"/>
    <w:rsid w:val="00657DF6"/>
    <w:rsid w:val="00660CE5"/>
    <w:rsid w:val="006612B0"/>
    <w:rsid w:val="006627D4"/>
    <w:rsid w:val="006630D3"/>
    <w:rsid w:val="0066401A"/>
    <w:rsid w:val="006640D2"/>
    <w:rsid w:val="0066417F"/>
    <w:rsid w:val="00664366"/>
    <w:rsid w:val="006659D1"/>
    <w:rsid w:val="00665E17"/>
    <w:rsid w:val="00665E43"/>
    <w:rsid w:val="006666FA"/>
    <w:rsid w:val="006668D4"/>
    <w:rsid w:val="006669DE"/>
    <w:rsid w:val="00666F30"/>
    <w:rsid w:val="0066723C"/>
    <w:rsid w:val="006674C7"/>
    <w:rsid w:val="00667793"/>
    <w:rsid w:val="00667FE2"/>
    <w:rsid w:val="006705B1"/>
    <w:rsid w:val="0067231A"/>
    <w:rsid w:val="00673350"/>
    <w:rsid w:val="00674690"/>
    <w:rsid w:val="00674C7F"/>
    <w:rsid w:val="00675102"/>
    <w:rsid w:val="006770DB"/>
    <w:rsid w:val="006779DE"/>
    <w:rsid w:val="00680A48"/>
    <w:rsid w:val="00680E0F"/>
    <w:rsid w:val="00682D5F"/>
    <w:rsid w:val="00683E90"/>
    <w:rsid w:val="00685557"/>
    <w:rsid w:val="00686312"/>
    <w:rsid w:val="00686CD7"/>
    <w:rsid w:val="006903A5"/>
    <w:rsid w:val="0069099E"/>
    <w:rsid w:val="00690A19"/>
    <w:rsid w:val="006915C1"/>
    <w:rsid w:val="00692613"/>
    <w:rsid w:val="0069434A"/>
    <w:rsid w:val="0069529B"/>
    <w:rsid w:val="006955B9"/>
    <w:rsid w:val="006975E9"/>
    <w:rsid w:val="00697935"/>
    <w:rsid w:val="006979B1"/>
    <w:rsid w:val="006A11E6"/>
    <w:rsid w:val="006A144B"/>
    <w:rsid w:val="006A1EE1"/>
    <w:rsid w:val="006A1F1B"/>
    <w:rsid w:val="006A2DF6"/>
    <w:rsid w:val="006A3603"/>
    <w:rsid w:val="006A4EA1"/>
    <w:rsid w:val="006A5118"/>
    <w:rsid w:val="006A689E"/>
    <w:rsid w:val="006A6935"/>
    <w:rsid w:val="006A7487"/>
    <w:rsid w:val="006A79A5"/>
    <w:rsid w:val="006B15C1"/>
    <w:rsid w:val="006B1794"/>
    <w:rsid w:val="006B40A4"/>
    <w:rsid w:val="006B65A6"/>
    <w:rsid w:val="006B6F93"/>
    <w:rsid w:val="006C04BD"/>
    <w:rsid w:val="006C15C3"/>
    <w:rsid w:val="006C3DC4"/>
    <w:rsid w:val="006C57CE"/>
    <w:rsid w:val="006C5CBD"/>
    <w:rsid w:val="006C6BBE"/>
    <w:rsid w:val="006C6CB4"/>
    <w:rsid w:val="006D2794"/>
    <w:rsid w:val="006D4188"/>
    <w:rsid w:val="006D42F7"/>
    <w:rsid w:val="006D5954"/>
    <w:rsid w:val="006D68D7"/>
    <w:rsid w:val="006D7520"/>
    <w:rsid w:val="006D7BE5"/>
    <w:rsid w:val="006E0157"/>
    <w:rsid w:val="006E0495"/>
    <w:rsid w:val="006E1871"/>
    <w:rsid w:val="006E1AF5"/>
    <w:rsid w:val="006E2657"/>
    <w:rsid w:val="006E45E5"/>
    <w:rsid w:val="006E4853"/>
    <w:rsid w:val="006E6523"/>
    <w:rsid w:val="006E6705"/>
    <w:rsid w:val="006E72BE"/>
    <w:rsid w:val="006F01A3"/>
    <w:rsid w:val="006F15EF"/>
    <w:rsid w:val="006F4021"/>
    <w:rsid w:val="006F4288"/>
    <w:rsid w:val="006F5FA3"/>
    <w:rsid w:val="006F640E"/>
    <w:rsid w:val="006F6505"/>
    <w:rsid w:val="00700914"/>
    <w:rsid w:val="00702016"/>
    <w:rsid w:val="00702338"/>
    <w:rsid w:val="00702F6A"/>
    <w:rsid w:val="007037A0"/>
    <w:rsid w:val="00703900"/>
    <w:rsid w:val="00703B9C"/>
    <w:rsid w:val="00703DDC"/>
    <w:rsid w:val="007044B8"/>
    <w:rsid w:val="007045DF"/>
    <w:rsid w:val="007047BA"/>
    <w:rsid w:val="00704D2F"/>
    <w:rsid w:val="00705166"/>
    <w:rsid w:val="00705C7E"/>
    <w:rsid w:val="00707022"/>
    <w:rsid w:val="007079C6"/>
    <w:rsid w:val="00710DD7"/>
    <w:rsid w:val="007117FB"/>
    <w:rsid w:val="00711D3D"/>
    <w:rsid w:val="00711EA6"/>
    <w:rsid w:val="00711FA6"/>
    <w:rsid w:val="00714197"/>
    <w:rsid w:val="007143B3"/>
    <w:rsid w:val="00714BC0"/>
    <w:rsid w:val="00714D1A"/>
    <w:rsid w:val="0071591D"/>
    <w:rsid w:val="00716B72"/>
    <w:rsid w:val="00717BE8"/>
    <w:rsid w:val="00717F27"/>
    <w:rsid w:val="00720980"/>
    <w:rsid w:val="00720C89"/>
    <w:rsid w:val="007211A4"/>
    <w:rsid w:val="007216DE"/>
    <w:rsid w:val="007221CA"/>
    <w:rsid w:val="00730FC9"/>
    <w:rsid w:val="007314CA"/>
    <w:rsid w:val="0073271E"/>
    <w:rsid w:val="00733581"/>
    <w:rsid w:val="00733C31"/>
    <w:rsid w:val="00733E48"/>
    <w:rsid w:val="00733E74"/>
    <w:rsid w:val="007372E4"/>
    <w:rsid w:val="00737970"/>
    <w:rsid w:val="00740507"/>
    <w:rsid w:val="00740CA5"/>
    <w:rsid w:val="00740E53"/>
    <w:rsid w:val="00741386"/>
    <w:rsid w:val="00741492"/>
    <w:rsid w:val="00744094"/>
    <w:rsid w:val="007444C2"/>
    <w:rsid w:val="00744CAC"/>
    <w:rsid w:val="007462AC"/>
    <w:rsid w:val="00751D40"/>
    <w:rsid w:val="00753B68"/>
    <w:rsid w:val="00754BF2"/>
    <w:rsid w:val="00755119"/>
    <w:rsid w:val="007553B7"/>
    <w:rsid w:val="00755A47"/>
    <w:rsid w:val="007567B6"/>
    <w:rsid w:val="00756D0F"/>
    <w:rsid w:val="007575A2"/>
    <w:rsid w:val="0075785E"/>
    <w:rsid w:val="00760968"/>
    <w:rsid w:val="00761DE4"/>
    <w:rsid w:val="0076496F"/>
    <w:rsid w:val="007672FC"/>
    <w:rsid w:val="00770234"/>
    <w:rsid w:val="007704D7"/>
    <w:rsid w:val="00770519"/>
    <w:rsid w:val="00770AA6"/>
    <w:rsid w:val="0077214B"/>
    <w:rsid w:val="007724C0"/>
    <w:rsid w:val="00772FB9"/>
    <w:rsid w:val="00773CA8"/>
    <w:rsid w:val="00774198"/>
    <w:rsid w:val="00774AA8"/>
    <w:rsid w:val="00774AB7"/>
    <w:rsid w:val="00775119"/>
    <w:rsid w:val="00775E64"/>
    <w:rsid w:val="00781ACF"/>
    <w:rsid w:val="00781E74"/>
    <w:rsid w:val="00782B23"/>
    <w:rsid w:val="00783226"/>
    <w:rsid w:val="00784288"/>
    <w:rsid w:val="007876F8"/>
    <w:rsid w:val="0078787B"/>
    <w:rsid w:val="00787D5F"/>
    <w:rsid w:val="007928A3"/>
    <w:rsid w:val="007928AE"/>
    <w:rsid w:val="00793743"/>
    <w:rsid w:val="007972E7"/>
    <w:rsid w:val="00797461"/>
    <w:rsid w:val="00797996"/>
    <w:rsid w:val="007A5AE8"/>
    <w:rsid w:val="007A647E"/>
    <w:rsid w:val="007A709C"/>
    <w:rsid w:val="007A7FB9"/>
    <w:rsid w:val="007B02A2"/>
    <w:rsid w:val="007B0977"/>
    <w:rsid w:val="007B142C"/>
    <w:rsid w:val="007B5814"/>
    <w:rsid w:val="007B6BA2"/>
    <w:rsid w:val="007B7FEE"/>
    <w:rsid w:val="007C0512"/>
    <w:rsid w:val="007C2039"/>
    <w:rsid w:val="007C2CDB"/>
    <w:rsid w:val="007C3D2C"/>
    <w:rsid w:val="007C4101"/>
    <w:rsid w:val="007C41E4"/>
    <w:rsid w:val="007C51B7"/>
    <w:rsid w:val="007C57B4"/>
    <w:rsid w:val="007C7809"/>
    <w:rsid w:val="007C7CD2"/>
    <w:rsid w:val="007D093A"/>
    <w:rsid w:val="007D09D5"/>
    <w:rsid w:val="007D0AB1"/>
    <w:rsid w:val="007D2516"/>
    <w:rsid w:val="007D2BEF"/>
    <w:rsid w:val="007D3236"/>
    <w:rsid w:val="007D4DC2"/>
    <w:rsid w:val="007D58B7"/>
    <w:rsid w:val="007D5F33"/>
    <w:rsid w:val="007D7408"/>
    <w:rsid w:val="007E0A75"/>
    <w:rsid w:val="007E0F52"/>
    <w:rsid w:val="007E20F6"/>
    <w:rsid w:val="007E2969"/>
    <w:rsid w:val="007E2B92"/>
    <w:rsid w:val="007E31E1"/>
    <w:rsid w:val="007E517B"/>
    <w:rsid w:val="007E7586"/>
    <w:rsid w:val="007E7EBD"/>
    <w:rsid w:val="007F0AB0"/>
    <w:rsid w:val="007F0F87"/>
    <w:rsid w:val="007F200B"/>
    <w:rsid w:val="007F2C3D"/>
    <w:rsid w:val="007F432D"/>
    <w:rsid w:val="007F49BA"/>
    <w:rsid w:val="007F7025"/>
    <w:rsid w:val="007F7168"/>
    <w:rsid w:val="007F71B3"/>
    <w:rsid w:val="008003D8"/>
    <w:rsid w:val="00800796"/>
    <w:rsid w:val="008007C8"/>
    <w:rsid w:val="008009B4"/>
    <w:rsid w:val="00800D1D"/>
    <w:rsid w:val="008022B3"/>
    <w:rsid w:val="00802D85"/>
    <w:rsid w:val="00804013"/>
    <w:rsid w:val="008047C6"/>
    <w:rsid w:val="00804888"/>
    <w:rsid w:val="00804DF1"/>
    <w:rsid w:val="008052A7"/>
    <w:rsid w:val="008052EB"/>
    <w:rsid w:val="008059CD"/>
    <w:rsid w:val="008062C5"/>
    <w:rsid w:val="00806303"/>
    <w:rsid w:val="0080632D"/>
    <w:rsid w:val="00807055"/>
    <w:rsid w:val="00807581"/>
    <w:rsid w:val="00810976"/>
    <w:rsid w:val="008116F0"/>
    <w:rsid w:val="00813FC8"/>
    <w:rsid w:val="00814748"/>
    <w:rsid w:val="00814ED5"/>
    <w:rsid w:val="00815120"/>
    <w:rsid w:val="00816090"/>
    <w:rsid w:val="008177FD"/>
    <w:rsid w:val="008178FB"/>
    <w:rsid w:val="00817BB3"/>
    <w:rsid w:val="00821D45"/>
    <w:rsid w:val="0082259B"/>
    <w:rsid w:val="008235F0"/>
    <w:rsid w:val="00823DC5"/>
    <w:rsid w:val="0082477C"/>
    <w:rsid w:val="0082499F"/>
    <w:rsid w:val="00824F46"/>
    <w:rsid w:val="00825093"/>
    <w:rsid w:val="00825701"/>
    <w:rsid w:val="00825A5C"/>
    <w:rsid w:val="00825B7D"/>
    <w:rsid w:val="00826910"/>
    <w:rsid w:val="00827DE6"/>
    <w:rsid w:val="008318D4"/>
    <w:rsid w:val="00831D72"/>
    <w:rsid w:val="00832F72"/>
    <w:rsid w:val="00833178"/>
    <w:rsid w:val="008338D1"/>
    <w:rsid w:val="00833FCA"/>
    <w:rsid w:val="00834B0C"/>
    <w:rsid w:val="00835A99"/>
    <w:rsid w:val="00835BA4"/>
    <w:rsid w:val="008369A0"/>
    <w:rsid w:val="00837068"/>
    <w:rsid w:val="008379FE"/>
    <w:rsid w:val="00837F23"/>
    <w:rsid w:val="00837F69"/>
    <w:rsid w:val="0084027B"/>
    <w:rsid w:val="008405F9"/>
    <w:rsid w:val="00842653"/>
    <w:rsid w:val="00842864"/>
    <w:rsid w:val="00842E3E"/>
    <w:rsid w:val="0084335A"/>
    <w:rsid w:val="00845681"/>
    <w:rsid w:val="00846F17"/>
    <w:rsid w:val="00847A3A"/>
    <w:rsid w:val="008518E1"/>
    <w:rsid w:val="0085191B"/>
    <w:rsid w:val="008530EA"/>
    <w:rsid w:val="00854E0B"/>
    <w:rsid w:val="008556F2"/>
    <w:rsid w:val="0085600A"/>
    <w:rsid w:val="008565EF"/>
    <w:rsid w:val="008575E6"/>
    <w:rsid w:val="008602E7"/>
    <w:rsid w:val="008604E3"/>
    <w:rsid w:val="00860E5D"/>
    <w:rsid w:val="00861708"/>
    <w:rsid w:val="00862019"/>
    <w:rsid w:val="00862639"/>
    <w:rsid w:val="008626FB"/>
    <w:rsid w:val="0086296B"/>
    <w:rsid w:val="00863141"/>
    <w:rsid w:val="008633AC"/>
    <w:rsid w:val="00863AEE"/>
    <w:rsid w:val="00865ED4"/>
    <w:rsid w:val="00866266"/>
    <w:rsid w:val="00867359"/>
    <w:rsid w:val="00867786"/>
    <w:rsid w:val="00870FDF"/>
    <w:rsid w:val="0087177B"/>
    <w:rsid w:val="00871AF9"/>
    <w:rsid w:val="00871B1D"/>
    <w:rsid w:val="008731B0"/>
    <w:rsid w:val="008734DB"/>
    <w:rsid w:val="00874B60"/>
    <w:rsid w:val="00875E23"/>
    <w:rsid w:val="00876126"/>
    <w:rsid w:val="00880AEE"/>
    <w:rsid w:val="00880C70"/>
    <w:rsid w:val="0088122B"/>
    <w:rsid w:val="008814CE"/>
    <w:rsid w:val="00881FC6"/>
    <w:rsid w:val="008821D2"/>
    <w:rsid w:val="00882BA9"/>
    <w:rsid w:val="00882C48"/>
    <w:rsid w:val="00882CE0"/>
    <w:rsid w:val="00882D30"/>
    <w:rsid w:val="0088365D"/>
    <w:rsid w:val="00883893"/>
    <w:rsid w:val="00883A27"/>
    <w:rsid w:val="00884F8F"/>
    <w:rsid w:val="00886112"/>
    <w:rsid w:val="0088678E"/>
    <w:rsid w:val="00886A58"/>
    <w:rsid w:val="00887CFA"/>
    <w:rsid w:val="00887D58"/>
    <w:rsid w:val="00893395"/>
    <w:rsid w:val="00895178"/>
    <w:rsid w:val="008962E0"/>
    <w:rsid w:val="008A09E7"/>
    <w:rsid w:val="008A0B9D"/>
    <w:rsid w:val="008A0E87"/>
    <w:rsid w:val="008A124E"/>
    <w:rsid w:val="008A1D48"/>
    <w:rsid w:val="008A44E9"/>
    <w:rsid w:val="008A450D"/>
    <w:rsid w:val="008A4ED8"/>
    <w:rsid w:val="008A59E0"/>
    <w:rsid w:val="008A6628"/>
    <w:rsid w:val="008B0CBD"/>
    <w:rsid w:val="008B2441"/>
    <w:rsid w:val="008B590C"/>
    <w:rsid w:val="008B5B04"/>
    <w:rsid w:val="008B68C6"/>
    <w:rsid w:val="008B7A6C"/>
    <w:rsid w:val="008B7B1D"/>
    <w:rsid w:val="008C01EE"/>
    <w:rsid w:val="008C129A"/>
    <w:rsid w:val="008C1E2B"/>
    <w:rsid w:val="008C1F44"/>
    <w:rsid w:val="008C32BD"/>
    <w:rsid w:val="008C4471"/>
    <w:rsid w:val="008D15EE"/>
    <w:rsid w:val="008D2013"/>
    <w:rsid w:val="008D2442"/>
    <w:rsid w:val="008D2CE0"/>
    <w:rsid w:val="008D3028"/>
    <w:rsid w:val="008D46D5"/>
    <w:rsid w:val="008D5482"/>
    <w:rsid w:val="008E0051"/>
    <w:rsid w:val="008E222B"/>
    <w:rsid w:val="008E2250"/>
    <w:rsid w:val="008E2CE2"/>
    <w:rsid w:val="008E360C"/>
    <w:rsid w:val="008E4015"/>
    <w:rsid w:val="008E4B2E"/>
    <w:rsid w:val="008E4D13"/>
    <w:rsid w:val="008E5D89"/>
    <w:rsid w:val="008E74E5"/>
    <w:rsid w:val="008F03C7"/>
    <w:rsid w:val="008F2042"/>
    <w:rsid w:val="008F2A15"/>
    <w:rsid w:val="008F3A7F"/>
    <w:rsid w:val="008F4E3B"/>
    <w:rsid w:val="008F4F39"/>
    <w:rsid w:val="008F5653"/>
    <w:rsid w:val="008F672A"/>
    <w:rsid w:val="008F6EB2"/>
    <w:rsid w:val="008F7F9F"/>
    <w:rsid w:val="00900F51"/>
    <w:rsid w:val="00901442"/>
    <w:rsid w:val="00903491"/>
    <w:rsid w:val="00903DCF"/>
    <w:rsid w:val="00903E7B"/>
    <w:rsid w:val="00904E9C"/>
    <w:rsid w:val="00905E4A"/>
    <w:rsid w:val="00907AE6"/>
    <w:rsid w:val="00910163"/>
    <w:rsid w:val="0091024C"/>
    <w:rsid w:val="00910F57"/>
    <w:rsid w:val="00912A2B"/>
    <w:rsid w:val="00912E0A"/>
    <w:rsid w:val="00913D0D"/>
    <w:rsid w:val="0091642F"/>
    <w:rsid w:val="00917A22"/>
    <w:rsid w:val="00917BC3"/>
    <w:rsid w:val="009200DA"/>
    <w:rsid w:val="00920885"/>
    <w:rsid w:val="00921D36"/>
    <w:rsid w:val="0092336C"/>
    <w:rsid w:val="009235C0"/>
    <w:rsid w:val="00926809"/>
    <w:rsid w:val="00926C91"/>
    <w:rsid w:val="00927232"/>
    <w:rsid w:val="009273CD"/>
    <w:rsid w:val="00927EBD"/>
    <w:rsid w:val="00930024"/>
    <w:rsid w:val="00930445"/>
    <w:rsid w:val="0093087A"/>
    <w:rsid w:val="00930D0F"/>
    <w:rsid w:val="0093180D"/>
    <w:rsid w:val="009325EF"/>
    <w:rsid w:val="00933A2B"/>
    <w:rsid w:val="0093433D"/>
    <w:rsid w:val="0093516C"/>
    <w:rsid w:val="00935E31"/>
    <w:rsid w:val="009376A6"/>
    <w:rsid w:val="0093772B"/>
    <w:rsid w:val="00937E3F"/>
    <w:rsid w:val="00940229"/>
    <w:rsid w:val="00940839"/>
    <w:rsid w:val="00940A6E"/>
    <w:rsid w:val="0094344B"/>
    <w:rsid w:val="009454A2"/>
    <w:rsid w:val="00945F22"/>
    <w:rsid w:val="00945F4A"/>
    <w:rsid w:val="00947552"/>
    <w:rsid w:val="00951526"/>
    <w:rsid w:val="00951F04"/>
    <w:rsid w:val="0095308C"/>
    <w:rsid w:val="009530C2"/>
    <w:rsid w:val="009538F2"/>
    <w:rsid w:val="009551D3"/>
    <w:rsid w:val="00955A04"/>
    <w:rsid w:val="009560D4"/>
    <w:rsid w:val="00956BF8"/>
    <w:rsid w:val="00957166"/>
    <w:rsid w:val="00957966"/>
    <w:rsid w:val="0096188D"/>
    <w:rsid w:val="00961CC1"/>
    <w:rsid w:val="00962F16"/>
    <w:rsid w:val="00963F49"/>
    <w:rsid w:val="009643F5"/>
    <w:rsid w:val="0096660F"/>
    <w:rsid w:val="00966754"/>
    <w:rsid w:val="00966D3D"/>
    <w:rsid w:val="00966D57"/>
    <w:rsid w:val="009675C5"/>
    <w:rsid w:val="00970140"/>
    <w:rsid w:val="00970839"/>
    <w:rsid w:val="00970A61"/>
    <w:rsid w:val="00970CE4"/>
    <w:rsid w:val="009711E0"/>
    <w:rsid w:val="00971F6B"/>
    <w:rsid w:val="00973206"/>
    <w:rsid w:val="009742B9"/>
    <w:rsid w:val="0097544C"/>
    <w:rsid w:val="00977F83"/>
    <w:rsid w:val="009821C2"/>
    <w:rsid w:val="00982528"/>
    <w:rsid w:val="00983F03"/>
    <w:rsid w:val="0098407B"/>
    <w:rsid w:val="00984098"/>
    <w:rsid w:val="009854CF"/>
    <w:rsid w:val="009856E8"/>
    <w:rsid w:val="0098628C"/>
    <w:rsid w:val="00986585"/>
    <w:rsid w:val="009903C1"/>
    <w:rsid w:val="0099138C"/>
    <w:rsid w:val="009913FA"/>
    <w:rsid w:val="0099151A"/>
    <w:rsid w:val="009920AE"/>
    <w:rsid w:val="00992B40"/>
    <w:rsid w:val="00992BE3"/>
    <w:rsid w:val="00993224"/>
    <w:rsid w:val="009934A0"/>
    <w:rsid w:val="00995C88"/>
    <w:rsid w:val="00997943"/>
    <w:rsid w:val="00997F4F"/>
    <w:rsid w:val="009A1033"/>
    <w:rsid w:val="009A1F58"/>
    <w:rsid w:val="009A3DD7"/>
    <w:rsid w:val="009A49D7"/>
    <w:rsid w:val="009A4AC6"/>
    <w:rsid w:val="009A58BD"/>
    <w:rsid w:val="009A605A"/>
    <w:rsid w:val="009A728B"/>
    <w:rsid w:val="009B02CA"/>
    <w:rsid w:val="009B12D9"/>
    <w:rsid w:val="009B1FA8"/>
    <w:rsid w:val="009B2CB6"/>
    <w:rsid w:val="009B3604"/>
    <w:rsid w:val="009B52E0"/>
    <w:rsid w:val="009B7474"/>
    <w:rsid w:val="009B7F5A"/>
    <w:rsid w:val="009C33B1"/>
    <w:rsid w:val="009C4AC6"/>
    <w:rsid w:val="009C5427"/>
    <w:rsid w:val="009C7806"/>
    <w:rsid w:val="009C79D1"/>
    <w:rsid w:val="009C7D20"/>
    <w:rsid w:val="009D0491"/>
    <w:rsid w:val="009D0A0D"/>
    <w:rsid w:val="009D176E"/>
    <w:rsid w:val="009D2E42"/>
    <w:rsid w:val="009D2F30"/>
    <w:rsid w:val="009D3A42"/>
    <w:rsid w:val="009D3A84"/>
    <w:rsid w:val="009D6B5B"/>
    <w:rsid w:val="009D6E2C"/>
    <w:rsid w:val="009D7CDB"/>
    <w:rsid w:val="009E0073"/>
    <w:rsid w:val="009E016F"/>
    <w:rsid w:val="009E023F"/>
    <w:rsid w:val="009E0AD0"/>
    <w:rsid w:val="009E0DC3"/>
    <w:rsid w:val="009E2054"/>
    <w:rsid w:val="009E3E1E"/>
    <w:rsid w:val="009E4DB9"/>
    <w:rsid w:val="009E5854"/>
    <w:rsid w:val="009E6FD0"/>
    <w:rsid w:val="009E7AD4"/>
    <w:rsid w:val="009F0032"/>
    <w:rsid w:val="009F2222"/>
    <w:rsid w:val="009F2A4E"/>
    <w:rsid w:val="009F36E8"/>
    <w:rsid w:val="009F4B8D"/>
    <w:rsid w:val="009F51B7"/>
    <w:rsid w:val="009F55A1"/>
    <w:rsid w:val="009F6F59"/>
    <w:rsid w:val="009F77EB"/>
    <w:rsid w:val="009F7D52"/>
    <w:rsid w:val="00A007DA"/>
    <w:rsid w:val="00A0102F"/>
    <w:rsid w:val="00A011EE"/>
    <w:rsid w:val="00A0144B"/>
    <w:rsid w:val="00A0184E"/>
    <w:rsid w:val="00A02DAB"/>
    <w:rsid w:val="00A03294"/>
    <w:rsid w:val="00A03FDA"/>
    <w:rsid w:val="00A04EC2"/>
    <w:rsid w:val="00A053A0"/>
    <w:rsid w:val="00A05541"/>
    <w:rsid w:val="00A05AAB"/>
    <w:rsid w:val="00A05E6D"/>
    <w:rsid w:val="00A068AD"/>
    <w:rsid w:val="00A077D1"/>
    <w:rsid w:val="00A10832"/>
    <w:rsid w:val="00A1128F"/>
    <w:rsid w:val="00A11BE6"/>
    <w:rsid w:val="00A121F1"/>
    <w:rsid w:val="00A126E8"/>
    <w:rsid w:val="00A13FE8"/>
    <w:rsid w:val="00A14108"/>
    <w:rsid w:val="00A14AB9"/>
    <w:rsid w:val="00A158AF"/>
    <w:rsid w:val="00A174FD"/>
    <w:rsid w:val="00A20075"/>
    <w:rsid w:val="00A21642"/>
    <w:rsid w:val="00A21C7B"/>
    <w:rsid w:val="00A2319B"/>
    <w:rsid w:val="00A23E26"/>
    <w:rsid w:val="00A24BDB"/>
    <w:rsid w:val="00A24D87"/>
    <w:rsid w:val="00A26B44"/>
    <w:rsid w:val="00A274D3"/>
    <w:rsid w:val="00A30F8B"/>
    <w:rsid w:val="00A31FD8"/>
    <w:rsid w:val="00A32232"/>
    <w:rsid w:val="00A3256D"/>
    <w:rsid w:val="00A32E30"/>
    <w:rsid w:val="00A33A7A"/>
    <w:rsid w:val="00A33D1F"/>
    <w:rsid w:val="00A34DCC"/>
    <w:rsid w:val="00A37238"/>
    <w:rsid w:val="00A37D48"/>
    <w:rsid w:val="00A40053"/>
    <w:rsid w:val="00A4120B"/>
    <w:rsid w:val="00A413D4"/>
    <w:rsid w:val="00A41611"/>
    <w:rsid w:val="00A41797"/>
    <w:rsid w:val="00A430FE"/>
    <w:rsid w:val="00A432A8"/>
    <w:rsid w:val="00A448B6"/>
    <w:rsid w:val="00A458C9"/>
    <w:rsid w:val="00A462A9"/>
    <w:rsid w:val="00A474DC"/>
    <w:rsid w:val="00A4757E"/>
    <w:rsid w:val="00A47CF4"/>
    <w:rsid w:val="00A50847"/>
    <w:rsid w:val="00A51A89"/>
    <w:rsid w:val="00A5302B"/>
    <w:rsid w:val="00A53392"/>
    <w:rsid w:val="00A5582F"/>
    <w:rsid w:val="00A563A2"/>
    <w:rsid w:val="00A56E2F"/>
    <w:rsid w:val="00A57079"/>
    <w:rsid w:val="00A57389"/>
    <w:rsid w:val="00A57479"/>
    <w:rsid w:val="00A604AA"/>
    <w:rsid w:val="00A60A36"/>
    <w:rsid w:val="00A61068"/>
    <w:rsid w:val="00A613DB"/>
    <w:rsid w:val="00A61419"/>
    <w:rsid w:val="00A6403E"/>
    <w:rsid w:val="00A64345"/>
    <w:rsid w:val="00A648FB"/>
    <w:rsid w:val="00A65165"/>
    <w:rsid w:val="00A6549C"/>
    <w:rsid w:val="00A6575C"/>
    <w:rsid w:val="00A65872"/>
    <w:rsid w:val="00A65A09"/>
    <w:rsid w:val="00A661DD"/>
    <w:rsid w:val="00A67B6E"/>
    <w:rsid w:val="00A703F3"/>
    <w:rsid w:val="00A70798"/>
    <w:rsid w:val="00A712C8"/>
    <w:rsid w:val="00A713FA"/>
    <w:rsid w:val="00A71851"/>
    <w:rsid w:val="00A71B8E"/>
    <w:rsid w:val="00A72476"/>
    <w:rsid w:val="00A73E45"/>
    <w:rsid w:val="00A73EB3"/>
    <w:rsid w:val="00A741DF"/>
    <w:rsid w:val="00A7420B"/>
    <w:rsid w:val="00A759BE"/>
    <w:rsid w:val="00A761EE"/>
    <w:rsid w:val="00A769B5"/>
    <w:rsid w:val="00A80BF2"/>
    <w:rsid w:val="00A82FB8"/>
    <w:rsid w:val="00A84927"/>
    <w:rsid w:val="00A857B6"/>
    <w:rsid w:val="00A85832"/>
    <w:rsid w:val="00A85C7B"/>
    <w:rsid w:val="00A86763"/>
    <w:rsid w:val="00A87958"/>
    <w:rsid w:val="00A8797B"/>
    <w:rsid w:val="00A9060C"/>
    <w:rsid w:val="00A91778"/>
    <w:rsid w:val="00A921E7"/>
    <w:rsid w:val="00A927ED"/>
    <w:rsid w:val="00A9414F"/>
    <w:rsid w:val="00A9438A"/>
    <w:rsid w:val="00A95655"/>
    <w:rsid w:val="00A9658A"/>
    <w:rsid w:val="00A96FEC"/>
    <w:rsid w:val="00A97472"/>
    <w:rsid w:val="00A974F0"/>
    <w:rsid w:val="00AA08EB"/>
    <w:rsid w:val="00AA0B1E"/>
    <w:rsid w:val="00AA0F39"/>
    <w:rsid w:val="00AA1235"/>
    <w:rsid w:val="00AA1959"/>
    <w:rsid w:val="00AA2C08"/>
    <w:rsid w:val="00AA2D0C"/>
    <w:rsid w:val="00AA455D"/>
    <w:rsid w:val="00AA6309"/>
    <w:rsid w:val="00AA7CA2"/>
    <w:rsid w:val="00AB0936"/>
    <w:rsid w:val="00AB0B59"/>
    <w:rsid w:val="00AB0FFC"/>
    <w:rsid w:val="00AB1630"/>
    <w:rsid w:val="00AB17FF"/>
    <w:rsid w:val="00AB28D9"/>
    <w:rsid w:val="00AB2E43"/>
    <w:rsid w:val="00AB3EF0"/>
    <w:rsid w:val="00AB44F8"/>
    <w:rsid w:val="00AB5D79"/>
    <w:rsid w:val="00AB63A2"/>
    <w:rsid w:val="00AB6A15"/>
    <w:rsid w:val="00AB6F0E"/>
    <w:rsid w:val="00AB7173"/>
    <w:rsid w:val="00AB7B7A"/>
    <w:rsid w:val="00AC074C"/>
    <w:rsid w:val="00AC0CDA"/>
    <w:rsid w:val="00AC2D5C"/>
    <w:rsid w:val="00AC2DB8"/>
    <w:rsid w:val="00AC33B4"/>
    <w:rsid w:val="00AC38D6"/>
    <w:rsid w:val="00AC3C51"/>
    <w:rsid w:val="00AC4D09"/>
    <w:rsid w:val="00AC505A"/>
    <w:rsid w:val="00AC553F"/>
    <w:rsid w:val="00AC55B9"/>
    <w:rsid w:val="00AC7E49"/>
    <w:rsid w:val="00AD0305"/>
    <w:rsid w:val="00AD22C0"/>
    <w:rsid w:val="00AD22FC"/>
    <w:rsid w:val="00AD272F"/>
    <w:rsid w:val="00AD2956"/>
    <w:rsid w:val="00AD3892"/>
    <w:rsid w:val="00AD44A6"/>
    <w:rsid w:val="00AD68F4"/>
    <w:rsid w:val="00AD7D47"/>
    <w:rsid w:val="00AE0879"/>
    <w:rsid w:val="00AE147C"/>
    <w:rsid w:val="00AE220F"/>
    <w:rsid w:val="00AE34AE"/>
    <w:rsid w:val="00AE3FCA"/>
    <w:rsid w:val="00AE422C"/>
    <w:rsid w:val="00AE4E5E"/>
    <w:rsid w:val="00AE57A0"/>
    <w:rsid w:val="00AE748A"/>
    <w:rsid w:val="00AE79C7"/>
    <w:rsid w:val="00AF32D0"/>
    <w:rsid w:val="00AF3FFD"/>
    <w:rsid w:val="00AF5A53"/>
    <w:rsid w:val="00AF5D4F"/>
    <w:rsid w:val="00AF68A0"/>
    <w:rsid w:val="00AF71DF"/>
    <w:rsid w:val="00AF72E4"/>
    <w:rsid w:val="00AF7E3B"/>
    <w:rsid w:val="00B00336"/>
    <w:rsid w:val="00B01029"/>
    <w:rsid w:val="00B01564"/>
    <w:rsid w:val="00B05476"/>
    <w:rsid w:val="00B056EA"/>
    <w:rsid w:val="00B05DDB"/>
    <w:rsid w:val="00B07EA1"/>
    <w:rsid w:val="00B134E1"/>
    <w:rsid w:val="00B13A6C"/>
    <w:rsid w:val="00B1505B"/>
    <w:rsid w:val="00B1607F"/>
    <w:rsid w:val="00B16B6D"/>
    <w:rsid w:val="00B16DE4"/>
    <w:rsid w:val="00B17001"/>
    <w:rsid w:val="00B17BD0"/>
    <w:rsid w:val="00B23599"/>
    <w:rsid w:val="00B2439D"/>
    <w:rsid w:val="00B250E9"/>
    <w:rsid w:val="00B26097"/>
    <w:rsid w:val="00B26B63"/>
    <w:rsid w:val="00B26C0C"/>
    <w:rsid w:val="00B27F8B"/>
    <w:rsid w:val="00B31922"/>
    <w:rsid w:val="00B32226"/>
    <w:rsid w:val="00B32E21"/>
    <w:rsid w:val="00B3363A"/>
    <w:rsid w:val="00B3372B"/>
    <w:rsid w:val="00B33ED8"/>
    <w:rsid w:val="00B33FE6"/>
    <w:rsid w:val="00B34052"/>
    <w:rsid w:val="00B34225"/>
    <w:rsid w:val="00B34CA5"/>
    <w:rsid w:val="00B34CB3"/>
    <w:rsid w:val="00B356DD"/>
    <w:rsid w:val="00B36573"/>
    <w:rsid w:val="00B376DD"/>
    <w:rsid w:val="00B37C7E"/>
    <w:rsid w:val="00B4023D"/>
    <w:rsid w:val="00B40896"/>
    <w:rsid w:val="00B41B48"/>
    <w:rsid w:val="00B439F4"/>
    <w:rsid w:val="00B44039"/>
    <w:rsid w:val="00B443EF"/>
    <w:rsid w:val="00B45183"/>
    <w:rsid w:val="00B452A3"/>
    <w:rsid w:val="00B4760D"/>
    <w:rsid w:val="00B4789B"/>
    <w:rsid w:val="00B5055A"/>
    <w:rsid w:val="00B50DD1"/>
    <w:rsid w:val="00B51F54"/>
    <w:rsid w:val="00B522E2"/>
    <w:rsid w:val="00B52537"/>
    <w:rsid w:val="00B52690"/>
    <w:rsid w:val="00B52953"/>
    <w:rsid w:val="00B5503B"/>
    <w:rsid w:val="00B5765E"/>
    <w:rsid w:val="00B57A90"/>
    <w:rsid w:val="00B602CD"/>
    <w:rsid w:val="00B60599"/>
    <w:rsid w:val="00B612F0"/>
    <w:rsid w:val="00B61C00"/>
    <w:rsid w:val="00B62514"/>
    <w:rsid w:val="00B62C4B"/>
    <w:rsid w:val="00B62D3D"/>
    <w:rsid w:val="00B6426A"/>
    <w:rsid w:val="00B64BEA"/>
    <w:rsid w:val="00B64D40"/>
    <w:rsid w:val="00B65C9E"/>
    <w:rsid w:val="00B662C5"/>
    <w:rsid w:val="00B665A4"/>
    <w:rsid w:val="00B672B9"/>
    <w:rsid w:val="00B67344"/>
    <w:rsid w:val="00B67B2E"/>
    <w:rsid w:val="00B67EB2"/>
    <w:rsid w:val="00B7007A"/>
    <w:rsid w:val="00B70EA5"/>
    <w:rsid w:val="00B7300E"/>
    <w:rsid w:val="00B74C5E"/>
    <w:rsid w:val="00B7558A"/>
    <w:rsid w:val="00B757E0"/>
    <w:rsid w:val="00B76D5C"/>
    <w:rsid w:val="00B778A5"/>
    <w:rsid w:val="00B77E36"/>
    <w:rsid w:val="00B80160"/>
    <w:rsid w:val="00B80D54"/>
    <w:rsid w:val="00B80ED0"/>
    <w:rsid w:val="00B8163A"/>
    <w:rsid w:val="00B82A34"/>
    <w:rsid w:val="00B836ED"/>
    <w:rsid w:val="00B83ACB"/>
    <w:rsid w:val="00B83B2A"/>
    <w:rsid w:val="00B840C7"/>
    <w:rsid w:val="00B84822"/>
    <w:rsid w:val="00B85651"/>
    <w:rsid w:val="00B85AB9"/>
    <w:rsid w:val="00B8665E"/>
    <w:rsid w:val="00B90598"/>
    <w:rsid w:val="00B9101D"/>
    <w:rsid w:val="00B92AD7"/>
    <w:rsid w:val="00B92B38"/>
    <w:rsid w:val="00B9543D"/>
    <w:rsid w:val="00B959E0"/>
    <w:rsid w:val="00B961D3"/>
    <w:rsid w:val="00B9703A"/>
    <w:rsid w:val="00BA11D8"/>
    <w:rsid w:val="00BA16D8"/>
    <w:rsid w:val="00BA3F0F"/>
    <w:rsid w:val="00BA4BB4"/>
    <w:rsid w:val="00BA5C76"/>
    <w:rsid w:val="00BA6C4A"/>
    <w:rsid w:val="00BA763C"/>
    <w:rsid w:val="00BA775C"/>
    <w:rsid w:val="00BB06A8"/>
    <w:rsid w:val="00BB0F82"/>
    <w:rsid w:val="00BB3191"/>
    <w:rsid w:val="00BB35D9"/>
    <w:rsid w:val="00BB5383"/>
    <w:rsid w:val="00BB599A"/>
    <w:rsid w:val="00BB5D6A"/>
    <w:rsid w:val="00BB65E6"/>
    <w:rsid w:val="00BB7122"/>
    <w:rsid w:val="00BC163D"/>
    <w:rsid w:val="00BC226F"/>
    <w:rsid w:val="00BC2ACE"/>
    <w:rsid w:val="00BC35EE"/>
    <w:rsid w:val="00BC3FAA"/>
    <w:rsid w:val="00BC4696"/>
    <w:rsid w:val="00BC47F3"/>
    <w:rsid w:val="00BC5D5A"/>
    <w:rsid w:val="00BC72C5"/>
    <w:rsid w:val="00BC75F3"/>
    <w:rsid w:val="00BC79B8"/>
    <w:rsid w:val="00BD0407"/>
    <w:rsid w:val="00BD119A"/>
    <w:rsid w:val="00BD2987"/>
    <w:rsid w:val="00BD2C7B"/>
    <w:rsid w:val="00BD50AA"/>
    <w:rsid w:val="00BD5B82"/>
    <w:rsid w:val="00BD6528"/>
    <w:rsid w:val="00BD68E4"/>
    <w:rsid w:val="00BD73C2"/>
    <w:rsid w:val="00BE28B8"/>
    <w:rsid w:val="00BE3EA0"/>
    <w:rsid w:val="00BE4275"/>
    <w:rsid w:val="00BE5FAC"/>
    <w:rsid w:val="00BE73A3"/>
    <w:rsid w:val="00BE7CF1"/>
    <w:rsid w:val="00BF0BEA"/>
    <w:rsid w:val="00BF1249"/>
    <w:rsid w:val="00BF2472"/>
    <w:rsid w:val="00BF2C26"/>
    <w:rsid w:val="00BF3705"/>
    <w:rsid w:val="00BF4123"/>
    <w:rsid w:val="00BF44F5"/>
    <w:rsid w:val="00BF5527"/>
    <w:rsid w:val="00BF56A4"/>
    <w:rsid w:val="00BF5B32"/>
    <w:rsid w:val="00BF6E0F"/>
    <w:rsid w:val="00BF706B"/>
    <w:rsid w:val="00BF7E21"/>
    <w:rsid w:val="00C00D6C"/>
    <w:rsid w:val="00C011A8"/>
    <w:rsid w:val="00C01EBF"/>
    <w:rsid w:val="00C03277"/>
    <w:rsid w:val="00C0333A"/>
    <w:rsid w:val="00C04757"/>
    <w:rsid w:val="00C049AA"/>
    <w:rsid w:val="00C05DB3"/>
    <w:rsid w:val="00C07894"/>
    <w:rsid w:val="00C07F5C"/>
    <w:rsid w:val="00C1012D"/>
    <w:rsid w:val="00C10563"/>
    <w:rsid w:val="00C111B8"/>
    <w:rsid w:val="00C11FFA"/>
    <w:rsid w:val="00C1253D"/>
    <w:rsid w:val="00C12728"/>
    <w:rsid w:val="00C13B0C"/>
    <w:rsid w:val="00C146F5"/>
    <w:rsid w:val="00C15A1A"/>
    <w:rsid w:val="00C17305"/>
    <w:rsid w:val="00C2211D"/>
    <w:rsid w:val="00C23412"/>
    <w:rsid w:val="00C23738"/>
    <w:rsid w:val="00C24483"/>
    <w:rsid w:val="00C24FB0"/>
    <w:rsid w:val="00C2732E"/>
    <w:rsid w:val="00C273EF"/>
    <w:rsid w:val="00C32616"/>
    <w:rsid w:val="00C337AA"/>
    <w:rsid w:val="00C33B73"/>
    <w:rsid w:val="00C34684"/>
    <w:rsid w:val="00C34E33"/>
    <w:rsid w:val="00C35310"/>
    <w:rsid w:val="00C35509"/>
    <w:rsid w:val="00C355F0"/>
    <w:rsid w:val="00C37A5C"/>
    <w:rsid w:val="00C37F8C"/>
    <w:rsid w:val="00C42E1D"/>
    <w:rsid w:val="00C449A2"/>
    <w:rsid w:val="00C469EC"/>
    <w:rsid w:val="00C504F2"/>
    <w:rsid w:val="00C510C8"/>
    <w:rsid w:val="00C5278D"/>
    <w:rsid w:val="00C52E1C"/>
    <w:rsid w:val="00C53BEE"/>
    <w:rsid w:val="00C53E07"/>
    <w:rsid w:val="00C54542"/>
    <w:rsid w:val="00C5500B"/>
    <w:rsid w:val="00C550BF"/>
    <w:rsid w:val="00C55381"/>
    <w:rsid w:val="00C55BF9"/>
    <w:rsid w:val="00C564BC"/>
    <w:rsid w:val="00C60320"/>
    <w:rsid w:val="00C6078E"/>
    <w:rsid w:val="00C60EE3"/>
    <w:rsid w:val="00C61D67"/>
    <w:rsid w:val="00C61E41"/>
    <w:rsid w:val="00C632B3"/>
    <w:rsid w:val="00C64AC2"/>
    <w:rsid w:val="00C653D9"/>
    <w:rsid w:val="00C662AC"/>
    <w:rsid w:val="00C66452"/>
    <w:rsid w:val="00C66939"/>
    <w:rsid w:val="00C66B53"/>
    <w:rsid w:val="00C673B1"/>
    <w:rsid w:val="00C67B3A"/>
    <w:rsid w:val="00C67C7C"/>
    <w:rsid w:val="00C7206F"/>
    <w:rsid w:val="00C75339"/>
    <w:rsid w:val="00C7605C"/>
    <w:rsid w:val="00C76A29"/>
    <w:rsid w:val="00C777A9"/>
    <w:rsid w:val="00C8076B"/>
    <w:rsid w:val="00C81088"/>
    <w:rsid w:val="00C81881"/>
    <w:rsid w:val="00C81DA8"/>
    <w:rsid w:val="00C82387"/>
    <w:rsid w:val="00C82F0B"/>
    <w:rsid w:val="00C838A3"/>
    <w:rsid w:val="00C85A50"/>
    <w:rsid w:val="00C866FD"/>
    <w:rsid w:val="00C8683D"/>
    <w:rsid w:val="00C90794"/>
    <w:rsid w:val="00C90CEF"/>
    <w:rsid w:val="00C90F14"/>
    <w:rsid w:val="00C9156C"/>
    <w:rsid w:val="00C92869"/>
    <w:rsid w:val="00C92D71"/>
    <w:rsid w:val="00C93F7E"/>
    <w:rsid w:val="00C97051"/>
    <w:rsid w:val="00C976F5"/>
    <w:rsid w:val="00C97722"/>
    <w:rsid w:val="00C9786D"/>
    <w:rsid w:val="00C97E2D"/>
    <w:rsid w:val="00CA035C"/>
    <w:rsid w:val="00CA0AD8"/>
    <w:rsid w:val="00CA0BF8"/>
    <w:rsid w:val="00CA0D2B"/>
    <w:rsid w:val="00CA1C5D"/>
    <w:rsid w:val="00CA1D56"/>
    <w:rsid w:val="00CA2912"/>
    <w:rsid w:val="00CA3FDD"/>
    <w:rsid w:val="00CA4609"/>
    <w:rsid w:val="00CA4A67"/>
    <w:rsid w:val="00CA4ABA"/>
    <w:rsid w:val="00CA6DD2"/>
    <w:rsid w:val="00CA7D80"/>
    <w:rsid w:val="00CB0E84"/>
    <w:rsid w:val="00CB246B"/>
    <w:rsid w:val="00CB3950"/>
    <w:rsid w:val="00CB3CA5"/>
    <w:rsid w:val="00CB6E87"/>
    <w:rsid w:val="00CB7767"/>
    <w:rsid w:val="00CC21F9"/>
    <w:rsid w:val="00CC221B"/>
    <w:rsid w:val="00CC2916"/>
    <w:rsid w:val="00CC2973"/>
    <w:rsid w:val="00CC3019"/>
    <w:rsid w:val="00CC3190"/>
    <w:rsid w:val="00CC560D"/>
    <w:rsid w:val="00CC5699"/>
    <w:rsid w:val="00CC60F2"/>
    <w:rsid w:val="00CC61ED"/>
    <w:rsid w:val="00CC6A2D"/>
    <w:rsid w:val="00CC6A2F"/>
    <w:rsid w:val="00CC6FEF"/>
    <w:rsid w:val="00CC7234"/>
    <w:rsid w:val="00CC73A3"/>
    <w:rsid w:val="00CD22B6"/>
    <w:rsid w:val="00CD2450"/>
    <w:rsid w:val="00CD4C3D"/>
    <w:rsid w:val="00CD4C7C"/>
    <w:rsid w:val="00CD603B"/>
    <w:rsid w:val="00CE0852"/>
    <w:rsid w:val="00CE1ED0"/>
    <w:rsid w:val="00CE32D4"/>
    <w:rsid w:val="00CE33F7"/>
    <w:rsid w:val="00CE47B6"/>
    <w:rsid w:val="00CE51AF"/>
    <w:rsid w:val="00CE51B3"/>
    <w:rsid w:val="00CE5F5E"/>
    <w:rsid w:val="00CF0681"/>
    <w:rsid w:val="00CF1CB1"/>
    <w:rsid w:val="00CF3648"/>
    <w:rsid w:val="00CF3922"/>
    <w:rsid w:val="00CF39D8"/>
    <w:rsid w:val="00CF4B8B"/>
    <w:rsid w:val="00CF4CE5"/>
    <w:rsid w:val="00CF6206"/>
    <w:rsid w:val="00CF654B"/>
    <w:rsid w:val="00D037F9"/>
    <w:rsid w:val="00D0403F"/>
    <w:rsid w:val="00D042EE"/>
    <w:rsid w:val="00D048A1"/>
    <w:rsid w:val="00D04FE1"/>
    <w:rsid w:val="00D05BB5"/>
    <w:rsid w:val="00D06D62"/>
    <w:rsid w:val="00D07313"/>
    <w:rsid w:val="00D074E6"/>
    <w:rsid w:val="00D10D73"/>
    <w:rsid w:val="00D11335"/>
    <w:rsid w:val="00D12626"/>
    <w:rsid w:val="00D12B45"/>
    <w:rsid w:val="00D133C6"/>
    <w:rsid w:val="00D13C90"/>
    <w:rsid w:val="00D14296"/>
    <w:rsid w:val="00D1600F"/>
    <w:rsid w:val="00D165E6"/>
    <w:rsid w:val="00D16608"/>
    <w:rsid w:val="00D16847"/>
    <w:rsid w:val="00D16CAC"/>
    <w:rsid w:val="00D17088"/>
    <w:rsid w:val="00D20864"/>
    <w:rsid w:val="00D21EAA"/>
    <w:rsid w:val="00D229F3"/>
    <w:rsid w:val="00D2363F"/>
    <w:rsid w:val="00D2418F"/>
    <w:rsid w:val="00D24C67"/>
    <w:rsid w:val="00D25185"/>
    <w:rsid w:val="00D274C9"/>
    <w:rsid w:val="00D2789F"/>
    <w:rsid w:val="00D27A46"/>
    <w:rsid w:val="00D27E34"/>
    <w:rsid w:val="00D27EB6"/>
    <w:rsid w:val="00D31B95"/>
    <w:rsid w:val="00D324E6"/>
    <w:rsid w:val="00D32836"/>
    <w:rsid w:val="00D32B10"/>
    <w:rsid w:val="00D33ABF"/>
    <w:rsid w:val="00D33F02"/>
    <w:rsid w:val="00D353EE"/>
    <w:rsid w:val="00D355BE"/>
    <w:rsid w:val="00D360C9"/>
    <w:rsid w:val="00D41E5F"/>
    <w:rsid w:val="00D42713"/>
    <w:rsid w:val="00D42A72"/>
    <w:rsid w:val="00D42C93"/>
    <w:rsid w:val="00D42F05"/>
    <w:rsid w:val="00D436AC"/>
    <w:rsid w:val="00D437CE"/>
    <w:rsid w:val="00D43F59"/>
    <w:rsid w:val="00D442E2"/>
    <w:rsid w:val="00D44719"/>
    <w:rsid w:val="00D4641E"/>
    <w:rsid w:val="00D46497"/>
    <w:rsid w:val="00D46A05"/>
    <w:rsid w:val="00D46A4C"/>
    <w:rsid w:val="00D471CC"/>
    <w:rsid w:val="00D475F7"/>
    <w:rsid w:val="00D477E7"/>
    <w:rsid w:val="00D510F6"/>
    <w:rsid w:val="00D54788"/>
    <w:rsid w:val="00D5698D"/>
    <w:rsid w:val="00D56BFD"/>
    <w:rsid w:val="00D6014E"/>
    <w:rsid w:val="00D60638"/>
    <w:rsid w:val="00D61E04"/>
    <w:rsid w:val="00D61FE9"/>
    <w:rsid w:val="00D63EA1"/>
    <w:rsid w:val="00D64061"/>
    <w:rsid w:val="00D64EA4"/>
    <w:rsid w:val="00D664EA"/>
    <w:rsid w:val="00D6669C"/>
    <w:rsid w:val="00D66FDF"/>
    <w:rsid w:val="00D673C2"/>
    <w:rsid w:val="00D70725"/>
    <w:rsid w:val="00D71DC4"/>
    <w:rsid w:val="00D73661"/>
    <w:rsid w:val="00D738E7"/>
    <w:rsid w:val="00D73987"/>
    <w:rsid w:val="00D74815"/>
    <w:rsid w:val="00D7708A"/>
    <w:rsid w:val="00D77C27"/>
    <w:rsid w:val="00D77D13"/>
    <w:rsid w:val="00D82969"/>
    <w:rsid w:val="00D82A20"/>
    <w:rsid w:val="00D82B11"/>
    <w:rsid w:val="00D83DAD"/>
    <w:rsid w:val="00D841DA"/>
    <w:rsid w:val="00D850A1"/>
    <w:rsid w:val="00D85BD9"/>
    <w:rsid w:val="00D85E35"/>
    <w:rsid w:val="00D86403"/>
    <w:rsid w:val="00D87CEE"/>
    <w:rsid w:val="00D90654"/>
    <w:rsid w:val="00D90D7B"/>
    <w:rsid w:val="00D914E0"/>
    <w:rsid w:val="00D916C4"/>
    <w:rsid w:val="00D9180F"/>
    <w:rsid w:val="00D93731"/>
    <w:rsid w:val="00D94F0C"/>
    <w:rsid w:val="00D951AF"/>
    <w:rsid w:val="00D96CD4"/>
    <w:rsid w:val="00D97B9A"/>
    <w:rsid w:val="00DA05B0"/>
    <w:rsid w:val="00DA0854"/>
    <w:rsid w:val="00DA13FD"/>
    <w:rsid w:val="00DA14D0"/>
    <w:rsid w:val="00DA2386"/>
    <w:rsid w:val="00DA3880"/>
    <w:rsid w:val="00DA464C"/>
    <w:rsid w:val="00DA4E8A"/>
    <w:rsid w:val="00DA5D93"/>
    <w:rsid w:val="00DA70AF"/>
    <w:rsid w:val="00DA7E81"/>
    <w:rsid w:val="00DB0A4F"/>
    <w:rsid w:val="00DB0AAE"/>
    <w:rsid w:val="00DB19FB"/>
    <w:rsid w:val="00DB22B8"/>
    <w:rsid w:val="00DB2C52"/>
    <w:rsid w:val="00DB2DE0"/>
    <w:rsid w:val="00DB3D7F"/>
    <w:rsid w:val="00DB47DB"/>
    <w:rsid w:val="00DB4EA5"/>
    <w:rsid w:val="00DB4F9B"/>
    <w:rsid w:val="00DB5C00"/>
    <w:rsid w:val="00DB6533"/>
    <w:rsid w:val="00DB698C"/>
    <w:rsid w:val="00DB6A3F"/>
    <w:rsid w:val="00DB7D44"/>
    <w:rsid w:val="00DC02E7"/>
    <w:rsid w:val="00DC52B2"/>
    <w:rsid w:val="00DC572A"/>
    <w:rsid w:val="00DC5B8E"/>
    <w:rsid w:val="00DC6759"/>
    <w:rsid w:val="00DC7538"/>
    <w:rsid w:val="00DD02E4"/>
    <w:rsid w:val="00DD0CD5"/>
    <w:rsid w:val="00DD202D"/>
    <w:rsid w:val="00DD21B4"/>
    <w:rsid w:val="00DD23B7"/>
    <w:rsid w:val="00DD2668"/>
    <w:rsid w:val="00DD4182"/>
    <w:rsid w:val="00DD45B2"/>
    <w:rsid w:val="00DD50D7"/>
    <w:rsid w:val="00DD54D1"/>
    <w:rsid w:val="00DD55A4"/>
    <w:rsid w:val="00DD5C0F"/>
    <w:rsid w:val="00DD65D6"/>
    <w:rsid w:val="00DD6C55"/>
    <w:rsid w:val="00DD74A2"/>
    <w:rsid w:val="00DE07ED"/>
    <w:rsid w:val="00DE3489"/>
    <w:rsid w:val="00DE3A4F"/>
    <w:rsid w:val="00DE453A"/>
    <w:rsid w:val="00DE64A2"/>
    <w:rsid w:val="00DE6DE4"/>
    <w:rsid w:val="00DF02C2"/>
    <w:rsid w:val="00DF0443"/>
    <w:rsid w:val="00DF0CE4"/>
    <w:rsid w:val="00DF107C"/>
    <w:rsid w:val="00DF1093"/>
    <w:rsid w:val="00DF167E"/>
    <w:rsid w:val="00DF2C43"/>
    <w:rsid w:val="00DF2ED5"/>
    <w:rsid w:val="00DF37D0"/>
    <w:rsid w:val="00DF4978"/>
    <w:rsid w:val="00DF5852"/>
    <w:rsid w:val="00DF58FE"/>
    <w:rsid w:val="00DF5949"/>
    <w:rsid w:val="00DF6708"/>
    <w:rsid w:val="00DF6C80"/>
    <w:rsid w:val="00E006BF"/>
    <w:rsid w:val="00E00771"/>
    <w:rsid w:val="00E011D9"/>
    <w:rsid w:val="00E01612"/>
    <w:rsid w:val="00E02204"/>
    <w:rsid w:val="00E0247C"/>
    <w:rsid w:val="00E026D3"/>
    <w:rsid w:val="00E028FD"/>
    <w:rsid w:val="00E0490B"/>
    <w:rsid w:val="00E050E3"/>
    <w:rsid w:val="00E0770D"/>
    <w:rsid w:val="00E1278A"/>
    <w:rsid w:val="00E12CE6"/>
    <w:rsid w:val="00E12E9B"/>
    <w:rsid w:val="00E13312"/>
    <w:rsid w:val="00E13315"/>
    <w:rsid w:val="00E13947"/>
    <w:rsid w:val="00E13D76"/>
    <w:rsid w:val="00E143E7"/>
    <w:rsid w:val="00E14492"/>
    <w:rsid w:val="00E16A73"/>
    <w:rsid w:val="00E17A5A"/>
    <w:rsid w:val="00E2048E"/>
    <w:rsid w:val="00E20F29"/>
    <w:rsid w:val="00E2180F"/>
    <w:rsid w:val="00E21819"/>
    <w:rsid w:val="00E21A49"/>
    <w:rsid w:val="00E220D5"/>
    <w:rsid w:val="00E22309"/>
    <w:rsid w:val="00E225E3"/>
    <w:rsid w:val="00E22697"/>
    <w:rsid w:val="00E23AF2"/>
    <w:rsid w:val="00E23B19"/>
    <w:rsid w:val="00E23DBC"/>
    <w:rsid w:val="00E25F91"/>
    <w:rsid w:val="00E26433"/>
    <w:rsid w:val="00E26736"/>
    <w:rsid w:val="00E26816"/>
    <w:rsid w:val="00E27273"/>
    <w:rsid w:val="00E30CD1"/>
    <w:rsid w:val="00E30E4F"/>
    <w:rsid w:val="00E3112B"/>
    <w:rsid w:val="00E31C4C"/>
    <w:rsid w:val="00E31C9B"/>
    <w:rsid w:val="00E33BE6"/>
    <w:rsid w:val="00E33D20"/>
    <w:rsid w:val="00E34112"/>
    <w:rsid w:val="00E34F39"/>
    <w:rsid w:val="00E352B2"/>
    <w:rsid w:val="00E3543C"/>
    <w:rsid w:val="00E35FA0"/>
    <w:rsid w:val="00E403D4"/>
    <w:rsid w:val="00E406BE"/>
    <w:rsid w:val="00E412EA"/>
    <w:rsid w:val="00E416AE"/>
    <w:rsid w:val="00E41C23"/>
    <w:rsid w:val="00E421F1"/>
    <w:rsid w:val="00E4228F"/>
    <w:rsid w:val="00E4232A"/>
    <w:rsid w:val="00E44F52"/>
    <w:rsid w:val="00E4728A"/>
    <w:rsid w:val="00E4731F"/>
    <w:rsid w:val="00E47892"/>
    <w:rsid w:val="00E47EA7"/>
    <w:rsid w:val="00E5018A"/>
    <w:rsid w:val="00E50B59"/>
    <w:rsid w:val="00E50B81"/>
    <w:rsid w:val="00E513C6"/>
    <w:rsid w:val="00E53A88"/>
    <w:rsid w:val="00E53EC1"/>
    <w:rsid w:val="00E53FBF"/>
    <w:rsid w:val="00E55349"/>
    <w:rsid w:val="00E55A21"/>
    <w:rsid w:val="00E55F40"/>
    <w:rsid w:val="00E56166"/>
    <w:rsid w:val="00E5741B"/>
    <w:rsid w:val="00E6076E"/>
    <w:rsid w:val="00E6206A"/>
    <w:rsid w:val="00E6278B"/>
    <w:rsid w:val="00E62FE9"/>
    <w:rsid w:val="00E63301"/>
    <w:rsid w:val="00E63C06"/>
    <w:rsid w:val="00E64AE0"/>
    <w:rsid w:val="00E667E0"/>
    <w:rsid w:val="00E70932"/>
    <w:rsid w:val="00E72762"/>
    <w:rsid w:val="00E73203"/>
    <w:rsid w:val="00E7395C"/>
    <w:rsid w:val="00E74725"/>
    <w:rsid w:val="00E74ACF"/>
    <w:rsid w:val="00E74AFE"/>
    <w:rsid w:val="00E757D7"/>
    <w:rsid w:val="00E75B92"/>
    <w:rsid w:val="00E7642D"/>
    <w:rsid w:val="00E76D65"/>
    <w:rsid w:val="00E801B5"/>
    <w:rsid w:val="00E803F8"/>
    <w:rsid w:val="00E80707"/>
    <w:rsid w:val="00E82012"/>
    <w:rsid w:val="00E82392"/>
    <w:rsid w:val="00E8255F"/>
    <w:rsid w:val="00E83C4D"/>
    <w:rsid w:val="00E83F2A"/>
    <w:rsid w:val="00E84A2D"/>
    <w:rsid w:val="00E84D66"/>
    <w:rsid w:val="00E85E7F"/>
    <w:rsid w:val="00E86E8E"/>
    <w:rsid w:val="00E86F77"/>
    <w:rsid w:val="00E87B98"/>
    <w:rsid w:val="00E87C91"/>
    <w:rsid w:val="00E908A1"/>
    <w:rsid w:val="00E90C77"/>
    <w:rsid w:val="00E91A28"/>
    <w:rsid w:val="00E91AAA"/>
    <w:rsid w:val="00E92097"/>
    <w:rsid w:val="00E92FD9"/>
    <w:rsid w:val="00E94B19"/>
    <w:rsid w:val="00E94BF8"/>
    <w:rsid w:val="00E9579F"/>
    <w:rsid w:val="00E95AD3"/>
    <w:rsid w:val="00E97575"/>
    <w:rsid w:val="00EA0C61"/>
    <w:rsid w:val="00EA1C8C"/>
    <w:rsid w:val="00EA20C3"/>
    <w:rsid w:val="00EA358D"/>
    <w:rsid w:val="00EA3D94"/>
    <w:rsid w:val="00EA4CCA"/>
    <w:rsid w:val="00EA5C1C"/>
    <w:rsid w:val="00EA6C75"/>
    <w:rsid w:val="00EA729C"/>
    <w:rsid w:val="00EA77CD"/>
    <w:rsid w:val="00EA7FDC"/>
    <w:rsid w:val="00EB1701"/>
    <w:rsid w:val="00EB1FAD"/>
    <w:rsid w:val="00EB265B"/>
    <w:rsid w:val="00EB278F"/>
    <w:rsid w:val="00EB61FA"/>
    <w:rsid w:val="00EC03B1"/>
    <w:rsid w:val="00EC0FF8"/>
    <w:rsid w:val="00EC14C4"/>
    <w:rsid w:val="00EC1560"/>
    <w:rsid w:val="00EC26C0"/>
    <w:rsid w:val="00EC2DDD"/>
    <w:rsid w:val="00EC336A"/>
    <w:rsid w:val="00EC4AAC"/>
    <w:rsid w:val="00EC5E9F"/>
    <w:rsid w:val="00EC5F92"/>
    <w:rsid w:val="00EC663F"/>
    <w:rsid w:val="00EC7AA3"/>
    <w:rsid w:val="00EC7CE2"/>
    <w:rsid w:val="00EC7E83"/>
    <w:rsid w:val="00ED0BE9"/>
    <w:rsid w:val="00ED0F05"/>
    <w:rsid w:val="00ED0FF9"/>
    <w:rsid w:val="00ED160D"/>
    <w:rsid w:val="00ED1D19"/>
    <w:rsid w:val="00ED1FC2"/>
    <w:rsid w:val="00ED28D6"/>
    <w:rsid w:val="00ED3568"/>
    <w:rsid w:val="00ED417C"/>
    <w:rsid w:val="00ED42DF"/>
    <w:rsid w:val="00ED4A23"/>
    <w:rsid w:val="00ED4D62"/>
    <w:rsid w:val="00ED5352"/>
    <w:rsid w:val="00ED53A2"/>
    <w:rsid w:val="00ED5586"/>
    <w:rsid w:val="00ED788E"/>
    <w:rsid w:val="00EE3B61"/>
    <w:rsid w:val="00EE45BF"/>
    <w:rsid w:val="00EE4E71"/>
    <w:rsid w:val="00EE6B65"/>
    <w:rsid w:val="00EE6BF1"/>
    <w:rsid w:val="00EE6FE7"/>
    <w:rsid w:val="00EE73D1"/>
    <w:rsid w:val="00EE76F5"/>
    <w:rsid w:val="00EE78FD"/>
    <w:rsid w:val="00EE7ECB"/>
    <w:rsid w:val="00EF1160"/>
    <w:rsid w:val="00EF1938"/>
    <w:rsid w:val="00EF20F9"/>
    <w:rsid w:val="00EF2103"/>
    <w:rsid w:val="00EF4D62"/>
    <w:rsid w:val="00EF52E4"/>
    <w:rsid w:val="00EF667B"/>
    <w:rsid w:val="00F004D4"/>
    <w:rsid w:val="00F008C7"/>
    <w:rsid w:val="00F00D96"/>
    <w:rsid w:val="00F01D2E"/>
    <w:rsid w:val="00F032E0"/>
    <w:rsid w:val="00F0344F"/>
    <w:rsid w:val="00F04548"/>
    <w:rsid w:val="00F10281"/>
    <w:rsid w:val="00F10C4C"/>
    <w:rsid w:val="00F11C02"/>
    <w:rsid w:val="00F121FF"/>
    <w:rsid w:val="00F12229"/>
    <w:rsid w:val="00F14A0A"/>
    <w:rsid w:val="00F15156"/>
    <w:rsid w:val="00F16111"/>
    <w:rsid w:val="00F16401"/>
    <w:rsid w:val="00F169F2"/>
    <w:rsid w:val="00F17304"/>
    <w:rsid w:val="00F203D1"/>
    <w:rsid w:val="00F206A7"/>
    <w:rsid w:val="00F20A9A"/>
    <w:rsid w:val="00F21211"/>
    <w:rsid w:val="00F218E6"/>
    <w:rsid w:val="00F233F8"/>
    <w:rsid w:val="00F2371B"/>
    <w:rsid w:val="00F23FA4"/>
    <w:rsid w:val="00F23FBC"/>
    <w:rsid w:val="00F24376"/>
    <w:rsid w:val="00F266FB"/>
    <w:rsid w:val="00F277D0"/>
    <w:rsid w:val="00F30634"/>
    <w:rsid w:val="00F32700"/>
    <w:rsid w:val="00F335A7"/>
    <w:rsid w:val="00F3487C"/>
    <w:rsid w:val="00F34995"/>
    <w:rsid w:val="00F34F66"/>
    <w:rsid w:val="00F36203"/>
    <w:rsid w:val="00F36793"/>
    <w:rsid w:val="00F36DDF"/>
    <w:rsid w:val="00F37F6B"/>
    <w:rsid w:val="00F403AC"/>
    <w:rsid w:val="00F405FB"/>
    <w:rsid w:val="00F434C9"/>
    <w:rsid w:val="00F45237"/>
    <w:rsid w:val="00F454C5"/>
    <w:rsid w:val="00F45E2D"/>
    <w:rsid w:val="00F46AAD"/>
    <w:rsid w:val="00F46E92"/>
    <w:rsid w:val="00F46EFF"/>
    <w:rsid w:val="00F47109"/>
    <w:rsid w:val="00F47F1B"/>
    <w:rsid w:val="00F50DF6"/>
    <w:rsid w:val="00F535AD"/>
    <w:rsid w:val="00F54A58"/>
    <w:rsid w:val="00F56206"/>
    <w:rsid w:val="00F56BCA"/>
    <w:rsid w:val="00F57359"/>
    <w:rsid w:val="00F57FD9"/>
    <w:rsid w:val="00F60216"/>
    <w:rsid w:val="00F60471"/>
    <w:rsid w:val="00F60AF8"/>
    <w:rsid w:val="00F60C8D"/>
    <w:rsid w:val="00F61182"/>
    <w:rsid w:val="00F61487"/>
    <w:rsid w:val="00F61A87"/>
    <w:rsid w:val="00F61BFC"/>
    <w:rsid w:val="00F61C53"/>
    <w:rsid w:val="00F62287"/>
    <w:rsid w:val="00F63262"/>
    <w:rsid w:val="00F64218"/>
    <w:rsid w:val="00F647CB"/>
    <w:rsid w:val="00F65434"/>
    <w:rsid w:val="00F656D9"/>
    <w:rsid w:val="00F664E0"/>
    <w:rsid w:val="00F66E35"/>
    <w:rsid w:val="00F673AC"/>
    <w:rsid w:val="00F67A4C"/>
    <w:rsid w:val="00F714B4"/>
    <w:rsid w:val="00F716F3"/>
    <w:rsid w:val="00F72151"/>
    <w:rsid w:val="00F72E84"/>
    <w:rsid w:val="00F7300E"/>
    <w:rsid w:val="00F735E6"/>
    <w:rsid w:val="00F73CC9"/>
    <w:rsid w:val="00F73DDE"/>
    <w:rsid w:val="00F73FA4"/>
    <w:rsid w:val="00F746A8"/>
    <w:rsid w:val="00F7494C"/>
    <w:rsid w:val="00F759DE"/>
    <w:rsid w:val="00F7617C"/>
    <w:rsid w:val="00F768BA"/>
    <w:rsid w:val="00F7759F"/>
    <w:rsid w:val="00F81246"/>
    <w:rsid w:val="00F81619"/>
    <w:rsid w:val="00F81AEF"/>
    <w:rsid w:val="00F83868"/>
    <w:rsid w:val="00F83B12"/>
    <w:rsid w:val="00F83E76"/>
    <w:rsid w:val="00F841AA"/>
    <w:rsid w:val="00F867E0"/>
    <w:rsid w:val="00F870CC"/>
    <w:rsid w:val="00F87753"/>
    <w:rsid w:val="00F87885"/>
    <w:rsid w:val="00F90320"/>
    <w:rsid w:val="00F9089B"/>
    <w:rsid w:val="00F91099"/>
    <w:rsid w:val="00F91441"/>
    <w:rsid w:val="00F91963"/>
    <w:rsid w:val="00F91F55"/>
    <w:rsid w:val="00F92487"/>
    <w:rsid w:val="00F92A2C"/>
    <w:rsid w:val="00F93A86"/>
    <w:rsid w:val="00F940CD"/>
    <w:rsid w:val="00F94939"/>
    <w:rsid w:val="00F95955"/>
    <w:rsid w:val="00F9651A"/>
    <w:rsid w:val="00F96BE7"/>
    <w:rsid w:val="00F97271"/>
    <w:rsid w:val="00F97A79"/>
    <w:rsid w:val="00FA01B2"/>
    <w:rsid w:val="00FA0650"/>
    <w:rsid w:val="00FA0E1D"/>
    <w:rsid w:val="00FA48EF"/>
    <w:rsid w:val="00FA5532"/>
    <w:rsid w:val="00FA5A35"/>
    <w:rsid w:val="00FA6AE1"/>
    <w:rsid w:val="00FA76B3"/>
    <w:rsid w:val="00FB06DD"/>
    <w:rsid w:val="00FB0E1F"/>
    <w:rsid w:val="00FB1325"/>
    <w:rsid w:val="00FB14CC"/>
    <w:rsid w:val="00FB1D1E"/>
    <w:rsid w:val="00FB31EE"/>
    <w:rsid w:val="00FB48BF"/>
    <w:rsid w:val="00FB4A44"/>
    <w:rsid w:val="00FB5762"/>
    <w:rsid w:val="00FB5CA7"/>
    <w:rsid w:val="00FB5FA5"/>
    <w:rsid w:val="00FC0BB5"/>
    <w:rsid w:val="00FC206D"/>
    <w:rsid w:val="00FC39C7"/>
    <w:rsid w:val="00FC43AE"/>
    <w:rsid w:val="00FC51CF"/>
    <w:rsid w:val="00FC5EA8"/>
    <w:rsid w:val="00FD1751"/>
    <w:rsid w:val="00FD183E"/>
    <w:rsid w:val="00FD1DAA"/>
    <w:rsid w:val="00FD4626"/>
    <w:rsid w:val="00FD4CA4"/>
    <w:rsid w:val="00FD54C9"/>
    <w:rsid w:val="00FD5715"/>
    <w:rsid w:val="00FD5747"/>
    <w:rsid w:val="00FD5E91"/>
    <w:rsid w:val="00FD5FCA"/>
    <w:rsid w:val="00FD63E2"/>
    <w:rsid w:val="00FD652D"/>
    <w:rsid w:val="00FD7027"/>
    <w:rsid w:val="00FD781E"/>
    <w:rsid w:val="00FD79C8"/>
    <w:rsid w:val="00FD7A02"/>
    <w:rsid w:val="00FE01A7"/>
    <w:rsid w:val="00FE0469"/>
    <w:rsid w:val="00FE0B51"/>
    <w:rsid w:val="00FE1780"/>
    <w:rsid w:val="00FE24A5"/>
    <w:rsid w:val="00FE2CEF"/>
    <w:rsid w:val="00FE4896"/>
    <w:rsid w:val="00FE51C0"/>
    <w:rsid w:val="00FE5AB1"/>
    <w:rsid w:val="00FE7769"/>
    <w:rsid w:val="00FE7B64"/>
    <w:rsid w:val="00FE7BD2"/>
    <w:rsid w:val="00FE7D90"/>
    <w:rsid w:val="00FF1EC6"/>
    <w:rsid w:val="00FF2C8D"/>
    <w:rsid w:val="00FF32A9"/>
    <w:rsid w:val="00FF43C6"/>
    <w:rsid w:val="00FF49F0"/>
    <w:rsid w:val="00FF56BA"/>
    <w:rsid w:val="00FF7774"/>
    <w:rsid w:val="00FF7A7E"/>
    <w:rsid w:val="01282E62"/>
    <w:rsid w:val="012D7D10"/>
    <w:rsid w:val="012F7F36"/>
    <w:rsid w:val="013B2B96"/>
    <w:rsid w:val="015276EE"/>
    <w:rsid w:val="01657C13"/>
    <w:rsid w:val="016A5229"/>
    <w:rsid w:val="016C4F8A"/>
    <w:rsid w:val="016D4D19"/>
    <w:rsid w:val="016F6310"/>
    <w:rsid w:val="017936BE"/>
    <w:rsid w:val="017B34E6"/>
    <w:rsid w:val="01815CA7"/>
    <w:rsid w:val="018E0940"/>
    <w:rsid w:val="018F4B23"/>
    <w:rsid w:val="0194674A"/>
    <w:rsid w:val="019D2E51"/>
    <w:rsid w:val="01AA0146"/>
    <w:rsid w:val="01AB6BE3"/>
    <w:rsid w:val="01AF0E8E"/>
    <w:rsid w:val="01C34939"/>
    <w:rsid w:val="01CC42A7"/>
    <w:rsid w:val="01CC7C92"/>
    <w:rsid w:val="01CE3A0A"/>
    <w:rsid w:val="01D803E5"/>
    <w:rsid w:val="01DE1773"/>
    <w:rsid w:val="01DF34DE"/>
    <w:rsid w:val="01E943A0"/>
    <w:rsid w:val="01F64D0F"/>
    <w:rsid w:val="02051CBB"/>
    <w:rsid w:val="02104DC9"/>
    <w:rsid w:val="02136AD6"/>
    <w:rsid w:val="021653B1"/>
    <w:rsid w:val="021E7DFF"/>
    <w:rsid w:val="0224187C"/>
    <w:rsid w:val="022655F4"/>
    <w:rsid w:val="022950E4"/>
    <w:rsid w:val="022C0730"/>
    <w:rsid w:val="02331ABF"/>
    <w:rsid w:val="02377801"/>
    <w:rsid w:val="023B5E05"/>
    <w:rsid w:val="024376A0"/>
    <w:rsid w:val="02477318"/>
    <w:rsid w:val="025232EC"/>
    <w:rsid w:val="02523914"/>
    <w:rsid w:val="025B1AC3"/>
    <w:rsid w:val="025B2DC4"/>
    <w:rsid w:val="02663C42"/>
    <w:rsid w:val="026659F0"/>
    <w:rsid w:val="02770F36"/>
    <w:rsid w:val="027F25B6"/>
    <w:rsid w:val="028E13EB"/>
    <w:rsid w:val="0291319A"/>
    <w:rsid w:val="02920B9A"/>
    <w:rsid w:val="029A1EC3"/>
    <w:rsid w:val="029D7486"/>
    <w:rsid w:val="02AE7397"/>
    <w:rsid w:val="02B77CCF"/>
    <w:rsid w:val="02BA21E0"/>
    <w:rsid w:val="02C32E43"/>
    <w:rsid w:val="02CA1EB5"/>
    <w:rsid w:val="02CC0F83"/>
    <w:rsid w:val="02D432A2"/>
    <w:rsid w:val="02D83AC4"/>
    <w:rsid w:val="02DE0532"/>
    <w:rsid w:val="02DF57A3"/>
    <w:rsid w:val="02EC1CAF"/>
    <w:rsid w:val="02F4124E"/>
    <w:rsid w:val="03127926"/>
    <w:rsid w:val="03243895"/>
    <w:rsid w:val="032F2286"/>
    <w:rsid w:val="032F46AE"/>
    <w:rsid w:val="03321D76"/>
    <w:rsid w:val="0334789D"/>
    <w:rsid w:val="034E5635"/>
    <w:rsid w:val="034F0B7A"/>
    <w:rsid w:val="03577173"/>
    <w:rsid w:val="03602490"/>
    <w:rsid w:val="0368794D"/>
    <w:rsid w:val="03710AF1"/>
    <w:rsid w:val="0379160A"/>
    <w:rsid w:val="03836A76"/>
    <w:rsid w:val="0385459C"/>
    <w:rsid w:val="03A03184"/>
    <w:rsid w:val="03A72554"/>
    <w:rsid w:val="03B1734F"/>
    <w:rsid w:val="03B65EAD"/>
    <w:rsid w:val="03B968E0"/>
    <w:rsid w:val="03BE1329"/>
    <w:rsid w:val="03C07382"/>
    <w:rsid w:val="03CC3F79"/>
    <w:rsid w:val="03D73579"/>
    <w:rsid w:val="03DD6186"/>
    <w:rsid w:val="03F03ACD"/>
    <w:rsid w:val="03F84D6E"/>
    <w:rsid w:val="04074FB1"/>
    <w:rsid w:val="04082AD7"/>
    <w:rsid w:val="040D7377"/>
    <w:rsid w:val="040F6DEE"/>
    <w:rsid w:val="0412273B"/>
    <w:rsid w:val="04144AD2"/>
    <w:rsid w:val="04286AF5"/>
    <w:rsid w:val="042E69E2"/>
    <w:rsid w:val="04351B68"/>
    <w:rsid w:val="04390EE3"/>
    <w:rsid w:val="04406715"/>
    <w:rsid w:val="046B19E4"/>
    <w:rsid w:val="0482288A"/>
    <w:rsid w:val="048B443B"/>
    <w:rsid w:val="048D6DBC"/>
    <w:rsid w:val="04A942BA"/>
    <w:rsid w:val="04C410F4"/>
    <w:rsid w:val="04C91A28"/>
    <w:rsid w:val="04CE1CB1"/>
    <w:rsid w:val="04CE1F73"/>
    <w:rsid w:val="04D806FC"/>
    <w:rsid w:val="04E23328"/>
    <w:rsid w:val="04F03C97"/>
    <w:rsid w:val="04F574FF"/>
    <w:rsid w:val="04FA4B16"/>
    <w:rsid w:val="050E22BB"/>
    <w:rsid w:val="051E6A56"/>
    <w:rsid w:val="05322502"/>
    <w:rsid w:val="055C132D"/>
    <w:rsid w:val="05654B72"/>
    <w:rsid w:val="057776AE"/>
    <w:rsid w:val="05796422"/>
    <w:rsid w:val="05844262"/>
    <w:rsid w:val="05856AD5"/>
    <w:rsid w:val="059E1945"/>
    <w:rsid w:val="05A31FC3"/>
    <w:rsid w:val="05B72A07"/>
    <w:rsid w:val="05BF2437"/>
    <w:rsid w:val="05C375FE"/>
    <w:rsid w:val="05CA098C"/>
    <w:rsid w:val="05E01F5E"/>
    <w:rsid w:val="05E05ABA"/>
    <w:rsid w:val="05E41A4E"/>
    <w:rsid w:val="05E664AB"/>
    <w:rsid w:val="05EB40BB"/>
    <w:rsid w:val="05F257ED"/>
    <w:rsid w:val="05F77C7C"/>
    <w:rsid w:val="05FE2F0B"/>
    <w:rsid w:val="06304C93"/>
    <w:rsid w:val="063511BA"/>
    <w:rsid w:val="063634F0"/>
    <w:rsid w:val="06371796"/>
    <w:rsid w:val="06641E8F"/>
    <w:rsid w:val="066C559F"/>
    <w:rsid w:val="06806CD7"/>
    <w:rsid w:val="06862B05"/>
    <w:rsid w:val="069638EE"/>
    <w:rsid w:val="06A55191"/>
    <w:rsid w:val="06A76315"/>
    <w:rsid w:val="06AE66F8"/>
    <w:rsid w:val="06AE7966"/>
    <w:rsid w:val="06B86A37"/>
    <w:rsid w:val="06C21663"/>
    <w:rsid w:val="06CB49BC"/>
    <w:rsid w:val="06CD24E2"/>
    <w:rsid w:val="06D870D9"/>
    <w:rsid w:val="06DA4BFF"/>
    <w:rsid w:val="06DC2725"/>
    <w:rsid w:val="06DF1025"/>
    <w:rsid w:val="06DF3FC3"/>
    <w:rsid w:val="06E415DA"/>
    <w:rsid w:val="06E927E2"/>
    <w:rsid w:val="06FA0DFD"/>
    <w:rsid w:val="07035538"/>
    <w:rsid w:val="071E0F8F"/>
    <w:rsid w:val="071F0864"/>
    <w:rsid w:val="07222102"/>
    <w:rsid w:val="07251AD2"/>
    <w:rsid w:val="072E6CF9"/>
    <w:rsid w:val="074958E1"/>
    <w:rsid w:val="074F3901"/>
    <w:rsid w:val="074F739B"/>
    <w:rsid w:val="0753050F"/>
    <w:rsid w:val="075E19C5"/>
    <w:rsid w:val="076B1CFB"/>
    <w:rsid w:val="076C0391"/>
    <w:rsid w:val="077741FC"/>
    <w:rsid w:val="07794418"/>
    <w:rsid w:val="07797F74"/>
    <w:rsid w:val="077E558A"/>
    <w:rsid w:val="07834C41"/>
    <w:rsid w:val="0784228F"/>
    <w:rsid w:val="07954D8F"/>
    <w:rsid w:val="07AA45D1"/>
    <w:rsid w:val="07BC1E74"/>
    <w:rsid w:val="07D4164E"/>
    <w:rsid w:val="07DD5554"/>
    <w:rsid w:val="07E01DA1"/>
    <w:rsid w:val="07E3078C"/>
    <w:rsid w:val="07EB2099"/>
    <w:rsid w:val="080261BB"/>
    <w:rsid w:val="080E5FD9"/>
    <w:rsid w:val="0823513D"/>
    <w:rsid w:val="082779D0"/>
    <w:rsid w:val="08306341"/>
    <w:rsid w:val="0831084F"/>
    <w:rsid w:val="08387E2F"/>
    <w:rsid w:val="08390944"/>
    <w:rsid w:val="083B00B0"/>
    <w:rsid w:val="083D5445"/>
    <w:rsid w:val="08484C9B"/>
    <w:rsid w:val="084B01E3"/>
    <w:rsid w:val="085534F5"/>
    <w:rsid w:val="0858402D"/>
    <w:rsid w:val="085D7896"/>
    <w:rsid w:val="08636C33"/>
    <w:rsid w:val="086A3D60"/>
    <w:rsid w:val="086C5D6E"/>
    <w:rsid w:val="087C3598"/>
    <w:rsid w:val="088077A2"/>
    <w:rsid w:val="088A4403"/>
    <w:rsid w:val="0898267C"/>
    <w:rsid w:val="08983511"/>
    <w:rsid w:val="08A47272"/>
    <w:rsid w:val="08A47372"/>
    <w:rsid w:val="08A92ADB"/>
    <w:rsid w:val="08A94BFC"/>
    <w:rsid w:val="08B33959"/>
    <w:rsid w:val="08BB4EFD"/>
    <w:rsid w:val="08C97978"/>
    <w:rsid w:val="08DF52C9"/>
    <w:rsid w:val="08F301FA"/>
    <w:rsid w:val="09023F99"/>
    <w:rsid w:val="090715AF"/>
    <w:rsid w:val="09075A53"/>
    <w:rsid w:val="090B72F2"/>
    <w:rsid w:val="090D12BC"/>
    <w:rsid w:val="09180178"/>
    <w:rsid w:val="091A5787"/>
    <w:rsid w:val="091C32AD"/>
    <w:rsid w:val="091D75BB"/>
    <w:rsid w:val="093D3223"/>
    <w:rsid w:val="09414AC1"/>
    <w:rsid w:val="095C7B4D"/>
    <w:rsid w:val="09630EDC"/>
    <w:rsid w:val="09707B14"/>
    <w:rsid w:val="098B0432"/>
    <w:rsid w:val="09946A31"/>
    <w:rsid w:val="09975029"/>
    <w:rsid w:val="09A45050"/>
    <w:rsid w:val="09A8336D"/>
    <w:rsid w:val="09AB2883"/>
    <w:rsid w:val="09B07E99"/>
    <w:rsid w:val="09B2776D"/>
    <w:rsid w:val="09B7601C"/>
    <w:rsid w:val="09BA3FD5"/>
    <w:rsid w:val="09BC13BE"/>
    <w:rsid w:val="09BC683E"/>
    <w:rsid w:val="09C518CF"/>
    <w:rsid w:val="09CB296E"/>
    <w:rsid w:val="09D43B87"/>
    <w:rsid w:val="09D5345C"/>
    <w:rsid w:val="09D675ED"/>
    <w:rsid w:val="09D678FF"/>
    <w:rsid w:val="09D771D4"/>
    <w:rsid w:val="09D96E34"/>
    <w:rsid w:val="09DC3682"/>
    <w:rsid w:val="09DE0891"/>
    <w:rsid w:val="09E3201C"/>
    <w:rsid w:val="09E91DBB"/>
    <w:rsid w:val="09E96B55"/>
    <w:rsid w:val="09EB4B6A"/>
    <w:rsid w:val="09EB754E"/>
    <w:rsid w:val="09EC52C7"/>
    <w:rsid w:val="09EF6C13"/>
    <w:rsid w:val="09F4422A"/>
    <w:rsid w:val="09FC30DE"/>
    <w:rsid w:val="0A0F0A13"/>
    <w:rsid w:val="0A1246B0"/>
    <w:rsid w:val="0A1354D3"/>
    <w:rsid w:val="0A195207"/>
    <w:rsid w:val="0A195A3E"/>
    <w:rsid w:val="0A1E12A6"/>
    <w:rsid w:val="0A3E7F78"/>
    <w:rsid w:val="0A3F26C4"/>
    <w:rsid w:val="0A3F3469"/>
    <w:rsid w:val="0A40746F"/>
    <w:rsid w:val="0A48596D"/>
    <w:rsid w:val="0A4F320E"/>
    <w:rsid w:val="0A544CC8"/>
    <w:rsid w:val="0A5823CF"/>
    <w:rsid w:val="0A5A37A8"/>
    <w:rsid w:val="0A5B7E05"/>
    <w:rsid w:val="0A650C83"/>
    <w:rsid w:val="0A6F565E"/>
    <w:rsid w:val="0A7333A0"/>
    <w:rsid w:val="0A786C09"/>
    <w:rsid w:val="0A7D7D7B"/>
    <w:rsid w:val="0A805ABD"/>
    <w:rsid w:val="0A9D041D"/>
    <w:rsid w:val="0AAA37AF"/>
    <w:rsid w:val="0ABC344C"/>
    <w:rsid w:val="0AC00DC5"/>
    <w:rsid w:val="0AD41965"/>
    <w:rsid w:val="0AD83203"/>
    <w:rsid w:val="0ADD6A6C"/>
    <w:rsid w:val="0AE02E63"/>
    <w:rsid w:val="0AE222D4"/>
    <w:rsid w:val="0AF142C5"/>
    <w:rsid w:val="0AF3120E"/>
    <w:rsid w:val="0AF50259"/>
    <w:rsid w:val="0AF70459"/>
    <w:rsid w:val="0AFA70FB"/>
    <w:rsid w:val="0AFB5144"/>
    <w:rsid w:val="0AFC61E3"/>
    <w:rsid w:val="0B04049C"/>
    <w:rsid w:val="0B0C10FF"/>
    <w:rsid w:val="0B1032E7"/>
    <w:rsid w:val="0B1306DF"/>
    <w:rsid w:val="0B1A7353"/>
    <w:rsid w:val="0B1A7CC0"/>
    <w:rsid w:val="0B1D50BA"/>
    <w:rsid w:val="0B224DC6"/>
    <w:rsid w:val="0B2823DD"/>
    <w:rsid w:val="0B291CB1"/>
    <w:rsid w:val="0B303499"/>
    <w:rsid w:val="0B3F3282"/>
    <w:rsid w:val="0B40624E"/>
    <w:rsid w:val="0B41349E"/>
    <w:rsid w:val="0B4B1B81"/>
    <w:rsid w:val="0B542FB0"/>
    <w:rsid w:val="0B671CEB"/>
    <w:rsid w:val="0B6947A3"/>
    <w:rsid w:val="0B6E1EE8"/>
    <w:rsid w:val="0B7C0033"/>
    <w:rsid w:val="0B845AA7"/>
    <w:rsid w:val="0B9063A0"/>
    <w:rsid w:val="0B995089"/>
    <w:rsid w:val="0B9C5F44"/>
    <w:rsid w:val="0B9F50FC"/>
    <w:rsid w:val="0BAB4DBC"/>
    <w:rsid w:val="0BC35C62"/>
    <w:rsid w:val="0BC9232F"/>
    <w:rsid w:val="0BD13855"/>
    <w:rsid w:val="0BDC4F75"/>
    <w:rsid w:val="0BE132E6"/>
    <w:rsid w:val="0BEF2EFA"/>
    <w:rsid w:val="0BF26547"/>
    <w:rsid w:val="0BFE0888"/>
    <w:rsid w:val="0C087B18"/>
    <w:rsid w:val="0C1069CD"/>
    <w:rsid w:val="0C1636F6"/>
    <w:rsid w:val="0C2A5CE1"/>
    <w:rsid w:val="0C345E85"/>
    <w:rsid w:val="0C4F1BEB"/>
    <w:rsid w:val="0C5965C6"/>
    <w:rsid w:val="0C727A87"/>
    <w:rsid w:val="0C776A4C"/>
    <w:rsid w:val="0C7A3AB8"/>
    <w:rsid w:val="0C7D396A"/>
    <w:rsid w:val="0C803B53"/>
    <w:rsid w:val="0C90757C"/>
    <w:rsid w:val="0C917B0E"/>
    <w:rsid w:val="0C9910B8"/>
    <w:rsid w:val="0CA305A5"/>
    <w:rsid w:val="0CB16402"/>
    <w:rsid w:val="0CBB4B8B"/>
    <w:rsid w:val="0CBD6B55"/>
    <w:rsid w:val="0CC67F5A"/>
    <w:rsid w:val="0CD15F74"/>
    <w:rsid w:val="0CD30126"/>
    <w:rsid w:val="0CD6014C"/>
    <w:rsid w:val="0CEE4F60"/>
    <w:rsid w:val="0CF26B87"/>
    <w:rsid w:val="0CF63DAA"/>
    <w:rsid w:val="0D0227BA"/>
    <w:rsid w:val="0D0B5815"/>
    <w:rsid w:val="0D0B5B12"/>
    <w:rsid w:val="0D0C188A"/>
    <w:rsid w:val="0D20037A"/>
    <w:rsid w:val="0D3170FD"/>
    <w:rsid w:val="0D374B59"/>
    <w:rsid w:val="0D3A1F53"/>
    <w:rsid w:val="0D447276"/>
    <w:rsid w:val="0D4B23B2"/>
    <w:rsid w:val="0D4B43E9"/>
    <w:rsid w:val="0D4E59FF"/>
    <w:rsid w:val="0D671F80"/>
    <w:rsid w:val="0D782A7C"/>
    <w:rsid w:val="0D8633EB"/>
    <w:rsid w:val="0D885842"/>
    <w:rsid w:val="0DAD0977"/>
    <w:rsid w:val="0DC706AE"/>
    <w:rsid w:val="0DE46CE5"/>
    <w:rsid w:val="0DE71A5B"/>
    <w:rsid w:val="0DEE51E4"/>
    <w:rsid w:val="0DFC36AD"/>
    <w:rsid w:val="0E036825"/>
    <w:rsid w:val="0E082052"/>
    <w:rsid w:val="0E083E00"/>
    <w:rsid w:val="0E0A5DCA"/>
    <w:rsid w:val="0E0D1416"/>
    <w:rsid w:val="0E1C5AFD"/>
    <w:rsid w:val="0E252C04"/>
    <w:rsid w:val="0E3C1CFB"/>
    <w:rsid w:val="0E3E4C8C"/>
    <w:rsid w:val="0E455054"/>
    <w:rsid w:val="0E511C4A"/>
    <w:rsid w:val="0E572FD9"/>
    <w:rsid w:val="0E57664F"/>
    <w:rsid w:val="0E59465B"/>
    <w:rsid w:val="0E5E1C72"/>
    <w:rsid w:val="0E664FCA"/>
    <w:rsid w:val="0E682AF0"/>
    <w:rsid w:val="0E6C3B57"/>
    <w:rsid w:val="0E7B2A74"/>
    <w:rsid w:val="0E8060A7"/>
    <w:rsid w:val="0E8C2C83"/>
    <w:rsid w:val="0E95212F"/>
    <w:rsid w:val="0EC35F79"/>
    <w:rsid w:val="0EC641E2"/>
    <w:rsid w:val="0ED061FA"/>
    <w:rsid w:val="0ED65CAC"/>
    <w:rsid w:val="0EFE379D"/>
    <w:rsid w:val="0F050A01"/>
    <w:rsid w:val="0F056591"/>
    <w:rsid w:val="0F0A1DF9"/>
    <w:rsid w:val="0F0A3BA7"/>
    <w:rsid w:val="0F112C81"/>
    <w:rsid w:val="0F1A64E0"/>
    <w:rsid w:val="0F1D0018"/>
    <w:rsid w:val="0F2760D3"/>
    <w:rsid w:val="0F2C6214"/>
    <w:rsid w:val="0F2E3D3A"/>
    <w:rsid w:val="0F3A26DF"/>
    <w:rsid w:val="0F3A448D"/>
    <w:rsid w:val="0F3F7CF5"/>
    <w:rsid w:val="0F4672D5"/>
    <w:rsid w:val="0F4E7A34"/>
    <w:rsid w:val="0F592E73"/>
    <w:rsid w:val="0F5B6442"/>
    <w:rsid w:val="0F601A19"/>
    <w:rsid w:val="0F6459AD"/>
    <w:rsid w:val="0F655282"/>
    <w:rsid w:val="0F724395"/>
    <w:rsid w:val="0F7D25CB"/>
    <w:rsid w:val="0F8235A8"/>
    <w:rsid w:val="0F865924"/>
    <w:rsid w:val="0F9919AD"/>
    <w:rsid w:val="0F9D0EBF"/>
    <w:rsid w:val="0FA54D81"/>
    <w:rsid w:val="0FAB63B4"/>
    <w:rsid w:val="0FC10C17"/>
    <w:rsid w:val="0FC30926"/>
    <w:rsid w:val="0FCA6972"/>
    <w:rsid w:val="0FD33F2A"/>
    <w:rsid w:val="0FF639B5"/>
    <w:rsid w:val="0FF72454"/>
    <w:rsid w:val="1005251F"/>
    <w:rsid w:val="100827DD"/>
    <w:rsid w:val="100A5F72"/>
    <w:rsid w:val="1010343F"/>
    <w:rsid w:val="10194D85"/>
    <w:rsid w:val="1021389E"/>
    <w:rsid w:val="10216E38"/>
    <w:rsid w:val="102F3C63"/>
    <w:rsid w:val="10321608"/>
    <w:rsid w:val="103C2486"/>
    <w:rsid w:val="103F3D25"/>
    <w:rsid w:val="10484987"/>
    <w:rsid w:val="104D4694"/>
    <w:rsid w:val="10511EE9"/>
    <w:rsid w:val="1054157E"/>
    <w:rsid w:val="106043C7"/>
    <w:rsid w:val="106612B1"/>
    <w:rsid w:val="10680A68"/>
    <w:rsid w:val="106B3FBF"/>
    <w:rsid w:val="10767953"/>
    <w:rsid w:val="10790BBF"/>
    <w:rsid w:val="107A497C"/>
    <w:rsid w:val="107B5FF2"/>
    <w:rsid w:val="107D7324"/>
    <w:rsid w:val="108C4D4A"/>
    <w:rsid w:val="109D1177"/>
    <w:rsid w:val="109E4EEF"/>
    <w:rsid w:val="10AE5478"/>
    <w:rsid w:val="10C761F4"/>
    <w:rsid w:val="10CB7636"/>
    <w:rsid w:val="10CC68F7"/>
    <w:rsid w:val="10D510E7"/>
    <w:rsid w:val="10D775F6"/>
    <w:rsid w:val="10E000F9"/>
    <w:rsid w:val="10F36FE9"/>
    <w:rsid w:val="10F52C7D"/>
    <w:rsid w:val="10F8474E"/>
    <w:rsid w:val="11050ACA"/>
    <w:rsid w:val="110B729A"/>
    <w:rsid w:val="11141552"/>
    <w:rsid w:val="11182DAA"/>
    <w:rsid w:val="111B0CB6"/>
    <w:rsid w:val="111D7BC2"/>
    <w:rsid w:val="1125116C"/>
    <w:rsid w:val="11290A8C"/>
    <w:rsid w:val="113B0990"/>
    <w:rsid w:val="114C494B"/>
    <w:rsid w:val="11510111"/>
    <w:rsid w:val="11571AB0"/>
    <w:rsid w:val="115A0E16"/>
    <w:rsid w:val="115D4462"/>
    <w:rsid w:val="115E7D45"/>
    <w:rsid w:val="11692D65"/>
    <w:rsid w:val="11722C3F"/>
    <w:rsid w:val="11826726"/>
    <w:rsid w:val="118C58C1"/>
    <w:rsid w:val="119B76A9"/>
    <w:rsid w:val="119E6DF5"/>
    <w:rsid w:val="11A26319"/>
    <w:rsid w:val="11A307BC"/>
    <w:rsid w:val="11A55E09"/>
    <w:rsid w:val="11A71B81"/>
    <w:rsid w:val="11B76268"/>
    <w:rsid w:val="11BF210D"/>
    <w:rsid w:val="11C95F9C"/>
    <w:rsid w:val="11CA2ABF"/>
    <w:rsid w:val="11E0395F"/>
    <w:rsid w:val="11E5636A"/>
    <w:rsid w:val="11E93843"/>
    <w:rsid w:val="11E93EE6"/>
    <w:rsid w:val="11EE77B0"/>
    <w:rsid w:val="11F56775"/>
    <w:rsid w:val="11F823DD"/>
    <w:rsid w:val="120274A2"/>
    <w:rsid w:val="120B2110"/>
    <w:rsid w:val="12135191"/>
    <w:rsid w:val="12241424"/>
    <w:rsid w:val="122B630F"/>
    <w:rsid w:val="1233302F"/>
    <w:rsid w:val="12480EBC"/>
    <w:rsid w:val="124D0F6D"/>
    <w:rsid w:val="124F64A1"/>
    <w:rsid w:val="12533255"/>
    <w:rsid w:val="125A151B"/>
    <w:rsid w:val="12614426"/>
    <w:rsid w:val="126410EF"/>
    <w:rsid w:val="127001C5"/>
    <w:rsid w:val="127203E1"/>
    <w:rsid w:val="12727EA3"/>
    <w:rsid w:val="12753A2E"/>
    <w:rsid w:val="128033B5"/>
    <w:rsid w:val="12817330"/>
    <w:rsid w:val="128D521B"/>
    <w:rsid w:val="1299596E"/>
    <w:rsid w:val="12B300FC"/>
    <w:rsid w:val="12B31637"/>
    <w:rsid w:val="12B97DBE"/>
    <w:rsid w:val="12BA1C76"/>
    <w:rsid w:val="12BA6202"/>
    <w:rsid w:val="12BB404F"/>
    <w:rsid w:val="12CA5B28"/>
    <w:rsid w:val="12CB5FB8"/>
    <w:rsid w:val="12D1335A"/>
    <w:rsid w:val="12DE62B9"/>
    <w:rsid w:val="12E35276"/>
    <w:rsid w:val="12E454DE"/>
    <w:rsid w:val="12EA5817"/>
    <w:rsid w:val="12F2507E"/>
    <w:rsid w:val="12F62DC8"/>
    <w:rsid w:val="130A686C"/>
    <w:rsid w:val="130C0318"/>
    <w:rsid w:val="130D7A78"/>
    <w:rsid w:val="131208EA"/>
    <w:rsid w:val="13137C73"/>
    <w:rsid w:val="131E5E73"/>
    <w:rsid w:val="1324792E"/>
    <w:rsid w:val="13367661"/>
    <w:rsid w:val="133E2072"/>
    <w:rsid w:val="13403C24"/>
    <w:rsid w:val="134478ED"/>
    <w:rsid w:val="134F427F"/>
    <w:rsid w:val="13525B1D"/>
    <w:rsid w:val="135263FA"/>
    <w:rsid w:val="135B0E75"/>
    <w:rsid w:val="135D2E40"/>
    <w:rsid w:val="13623FB2"/>
    <w:rsid w:val="137612B1"/>
    <w:rsid w:val="137912FC"/>
    <w:rsid w:val="138A3E9E"/>
    <w:rsid w:val="138B304B"/>
    <w:rsid w:val="138C6DED"/>
    <w:rsid w:val="13946135"/>
    <w:rsid w:val="1397336A"/>
    <w:rsid w:val="13985790"/>
    <w:rsid w:val="139D38DB"/>
    <w:rsid w:val="13A50343"/>
    <w:rsid w:val="13AE369B"/>
    <w:rsid w:val="13BD568C"/>
    <w:rsid w:val="13C20EF5"/>
    <w:rsid w:val="13C24A51"/>
    <w:rsid w:val="13C4105E"/>
    <w:rsid w:val="13CE5AEB"/>
    <w:rsid w:val="13D1738A"/>
    <w:rsid w:val="13D80718"/>
    <w:rsid w:val="13D93BA8"/>
    <w:rsid w:val="13E1581F"/>
    <w:rsid w:val="13E24B70"/>
    <w:rsid w:val="13E42C19"/>
    <w:rsid w:val="13EF0CC1"/>
    <w:rsid w:val="13F563EC"/>
    <w:rsid w:val="14114C17"/>
    <w:rsid w:val="14171240"/>
    <w:rsid w:val="14237BE5"/>
    <w:rsid w:val="14244FEC"/>
    <w:rsid w:val="144E391B"/>
    <w:rsid w:val="145139F1"/>
    <w:rsid w:val="146849E3"/>
    <w:rsid w:val="1469117E"/>
    <w:rsid w:val="14711B9F"/>
    <w:rsid w:val="14720225"/>
    <w:rsid w:val="14795A57"/>
    <w:rsid w:val="147F2942"/>
    <w:rsid w:val="14817958"/>
    <w:rsid w:val="148D1503"/>
    <w:rsid w:val="149C1746"/>
    <w:rsid w:val="149F1A6D"/>
    <w:rsid w:val="14A03128"/>
    <w:rsid w:val="14A30D26"/>
    <w:rsid w:val="14BE346A"/>
    <w:rsid w:val="14C33176"/>
    <w:rsid w:val="14C76FEA"/>
    <w:rsid w:val="14C91409"/>
    <w:rsid w:val="14CF5677"/>
    <w:rsid w:val="14D62EA9"/>
    <w:rsid w:val="14EF5D19"/>
    <w:rsid w:val="14F71062"/>
    <w:rsid w:val="14FB0157"/>
    <w:rsid w:val="15057309"/>
    <w:rsid w:val="15082C53"/>
    <w:rsid w:val="151376CD"/>
    <w:rsid w:val="151632A6"/>
    <w:rsid w:val="15175270"/>
    <w:rsid w:val="151B6B0E"/>
    <w:rsid w:val="151F0B85"/>
    <w:rsid w:val="15202377"/>
    <w:rsid w:val="153259C9"/>
    <w:rsid w:val="153B724F"/>
    <w:rsid w:val="154047C7"/>
    <w:rsid w:val="15455939"/>
    <w:rsid w:val="154A617D"/>
    <w:rsid w:val="155E4C4D"/>
    <w:rsid w:val="15667FE8"/>
    <w:rsid w:val="156D5D5E"/>
    <w:rsid w:val="156E30E2"/>
    <w:rsid w:val="1577787B"/>
    <w:rsid w:val="158226E9"/>
    <w:rsid w:val="159B19FD"/>
    <w:rsid w:val="159E5049"/>
    <w:rsid w:val="15A06322"/>
    <w:rsid w:val="15AC59B8"/>
    <w:rsid w:val="15AC7A04"/>
    <w:rsid w:val="15AD597E"/>
    <w:rsid w:val="15B66837"/>
    <w:rsid w:val="15C40F54"/>
    <w:rsid w:val="15C54FEA"/>
    <w:rsid w:val="15E909BB"/>
    <w:rsid w:val="15F1161D"/>
    <w:rsid w:val="15F15AC1"/>
    <w:rsid w:val="15FE5A51"/>
    <w:rsid w:val="161E6396"/>
    <w:rsid w:val="162419F3"/>
    <w:rsid w:val="162D1DF8"/>
    <w:rsid w:val="163559AE"/>
    <w:rsid w:val="163C4F8E"/>
    <w:rsid w:val="163D2AB4"/>
    <w:rsid w:val="1642631D"/>
    <w:rsid w:val="165027E8"/>
    <w:rsid w:val="1651030E"/>
    <w:rsid w:val="165A0C46"/>
    <w:rsid w:val="165F11A5"/>
    <w:rsid w:val="16620D37"/>
    <w:rsid w:val="167A5230"/>
    <w:rsid w:val="167A5AB7"/>
    <w:rsid w:val="16842491"/>
    <w:rsid w:val="168D7598"/>
    <w:rsid w:val="168F547E"/>
    <w:rsid w:val="1692185F"/>
    <w:rsid w:val="16A677CD"/>
    <w:rsid w:val="16A96F60"/>
    <w:rsid w:val="16D57191"/>
    <w:rsid w:val="16E46649"/>
    <w:rsid w:val="16EB2510"/>
    <w:rsid w:val="16EF3DAF"/>
    <w:rsid w:val="16FF7D6A"/>
    <w:rsid w:val="17104AB6"/>
    <w:rsid w:val="171C22C3"/>
    <w:rsid w:val="172F064F"/>
    <w:rsid w:val="172F4C87"/>
    <w:rsid w:val="17325EFB"/>
    <w:rsid w:val="1734612F"/>
    <w:rsid w:val="17377504"/>
    <w:rsid w:val="173974B1"/>
    <w:rsid w:val="175005C5"/>
    <w:rsid w:val="175956CC"/>
    <w:rsid w:val="177C13BA"/>
    <w:rsid w:val="17837902"/>
    <w:rsid w:val="17852A93"/>
    <w:rsid w:val="178D1819"/>
    <w:rsid w:val="17A67C85"/>
    <w:rsid w:val="17B108BB"/>
    <w:rsid w:val="17B45528"/>
    <w:rsid w:val="17BD3FF5"/>
    <w:rsid w:val="17D01AA8"/>
    <w:rsid w:val="17D15BAA"/>
    <w:rsid w:val="17E551B2"/>
    <w:rsid w:val="17F02CDB"/>
    <w:rsid w:val="17F24636"/>
    <w:rsid w:val="17FE0021"/>
    <w:rsid w:val="18027033"/>
    <w:rsid w:val="1807337A"/>
    <w:rsid w:val="180A2E6A"/>
    <w:rsid w:val="1816180F"/>
    <w:rsid w:val="18253800"/>
    <w:rsid w:val="18256ADE"/>
    <w:rsid w:val="183B4E85"/>
    <w:rsid w:val="18421939"/>
    <w:rsid w:val="185F4F64"/>
    <w:rsid w:val="187B180C"/>
    <w:rsid w:val="187B6444"/>
    <w:rsid w:val="1881312C"/>
    <w:rsid w:val="18826EA4"/>
    <w:rsid w:val="18926AFD"/>
    <w:rsid w:val="189746FE"/>
    <w:rsid w:val="189D783A"/>
    <w:rsid w:val="18A40BC9"/>
    <w:rsid w:val="18A549B7"/>
    <w:rsid w:val="18B2778A"/>
    <w:rsid w:val="18B3641F"/>
    <w:rsid w:val="18BA4890"/>
    <w:rsid w:val="18C9062F"/>
    <w:rsid w:val="18DD40DB"/>
    <w:rsid w:val="18E91161"/>
    <w:rsid w:val="18EC0B49"/>
    <w:rsid w:val="18F163A3"/>
    <w:rsid w:val="18F51424"/>
    <w:rsid w:val="18F913E2"/>
    <w:rsid w:val="190D2C12"/>
    <w:rsid w:val="19127395"/>
    <w:rsid w:val="19137AFC"/>
    <w:rsid w:val="191915B7"/>
    <w:rsid w:val="192561AE"/>
    <w:rsid w:val="192A37C4"/>
    <w:rsid w:val="192C753C"/>
    <w:rsid w:val="19450C2C"/>
    <w:rsid w:val="194A79C2"/>
    <w:rsid w:val="195728BE"/>
    <w:rsid w:val="195B1BCF"/>
    <w:rsid w:val="19632832"/>
    <w:rsid w:val="19650CF3"/>
    <w:rsid w:val="19665FA6"/>
    <w:rsid w:val="19673150"/>
    <w:rsid w:val="196C5B8A"/>
    <w:rsid w:val="19704C26"/>
    <w:rsid w:val="1982467D"/>
    <w:rsid w:val="199044E1"/>
    <w:rsid w:val="19996FF5"/>
    <w:rsid w:val="199E57CD"/>
    <w:rsid w:val="19A43300"/>
    <w:rsid w:val="19A54BF8"/>
    <w:rsid w:val="19A90B8D"/>
    <w:rsid w:val="19BB08C0"/>
    <w:rsid w:val="19BC405C"/>
    <w:rsid w:val="19BE215E"/>
    <w:rsid w:val="19CE6698"/>
    <w:rsid w:val="19E219A9"/>
    <w:rsid w:val="19E42F9F"/>
    <w:rsid w:val="19F62E19"/>
    <w:rsid w:val="19F702F7"/>
    <w:rsid w:val="19F83DAB"/>
    <w:rsid w:val="19FD4A34"/>
    <w:rsid w:val="1A051B3B"/>
    <w:rsid w:val="1A0758B3"/>
    <w:rsid w:val="1A0A0EFF"/>
    <w:rsid w:val="1A0A5A83"/>
    <w:rsid w:val="1A0D279E"/>
    <w:rsid w:val="1A1C2024"/>
    <w:rsid w:val="1A2A15A2"/>
    <w:rsid w:val="1A2A74CC"/>
    <w:rsid w:val="1A2B62C8"/>
    <w:rsid w:val="1A3500F1"/>
    <w:rsid w:val="1A381F10"/>
    <w:rsid w:val="1A3E3248"/>
    <w:rsid w:val="1A400DC5"/>
    <w:rsid w:val="1A530AF8"/>
    <w:rsid w:val="1A7D5B75"/>
    <w:rsid w:val="1A8A3DEE"/>
    <w:rsid w:val="1A9133CF"/>
    <w:rsid w:val="1A940DA9"/>
    <w:rsid w:val="1A9772DF"/>
    <w:rsid w:val="1A9A3F40"/>
    <w:rsid w:val="1AA31326"/>
    <w:rsid w:val="1AA80E44"/>
    <w:rsid w:val="1AAC1FB7"/>
    <w:rsid w:val="1AB64BE3"/>
    <w:rsid w:val="1AB64FE6"/>
    <w:rsid w:val="1AC27A2C"/>
    <w:rsid w:val="1ACA4FEB"/>
    <w:rsid w:val="1ACC5192"/>
    <w:rsid w:val="1ACE4623"/>
    <w:rsid w:val="1AD82DAC"/>
    <w:rsid w:val="1ADC1279"/>
    <w:rsid w:val="1AE300CE"/>
    <w:rsid w:val="1AE904A6"/>
    <w:rsid w:val="1AE9320B"/>
    <w:rsid w:val="1AEB0D31"/>
    <w:rsid w:val="1AF04439"/>
    <w:rsid w:val="1AF23244"/>
    <w:rsid w:val="1AFE3235"/>
    <w:rsid w:val="1B050ABD"/>
    <w:rsid w:val="1B0D0CA7"/>
    <w:rsid w:val="1B102545"/>
    <w:rsid w:val="1B212333"/>
    <w:rsid w:val="1B34092A"/>
    <w:rsid w:val="1B365091"/>
    <w:rsid w:val="1B391A9C"/>
    <w:rsid w:val="1B397CEE"/>
    <w:rsid w:val="1B481CDF"/>
    <w:rsid w:val="1B4A333E"/>
    <w:rsid w:val="1B4D379A"/>
    <w:rsid w:val="1B6235D9"/>
    <w:rsid w:val="1B6805D3"/>
    <w:rsid w:val="1B682381"/>
    <w:rsid w:val="1B722124"/>
    <w:rsid w:val="1B723200"/>
    <w:rsid w:val="1B8076CB"/>
    <w:rsid w:val="1B851185"/>
    <w:rsid w:val="1B8E6546"/>
    <w:rsid w:val="1B9B0474"/>
    <w:rsid w:val="1BA01B1B"/>
    <w:rsid w:val="1BA15893"/>
    <w:rsid w:val="1BA3785E"/>
    <w:rsid w:val="1BAB6A9B"/>
    <w:rsid w:val="1BBD7CBF"/>
    <w:rsid w:val="1BBE01F3"/>
    <w:rsid w:val="1BC05D1A"/>
    <w:rsid w:val="1BC11A92"/>
    <w:rsid w:val="1BC33A5C"/>
    <w:rsid w:val="1BC87C70"/>
    <w:rsid w:val="1BD47A17"/>
    <w:rsid w:val="1BDF7419"/>
    <w:rsid w:val="1BEA1E5D"/>
    <w:rsid w:val="1BEE4AD0"/>
    <w:rsid w:val="1BFC2ACA"/>
    <w:rsid w:val="1C096D36"/>
    <w:rsid w:val="1C107AF5"/>
    <w:rsid w:val="1C1B3898"/>
    <w:rsid w:val="1C1C6602"/>
    <w:rsid w:val="1C205539"/>
    <w:rsid w:val="1C2D1B56"/>
    <w:rsid w:val="1C2D7127"/>
    <w:rsid w:val="1C2F4C4D"/>
    <w:rsid w:val="1C3861F8"/>
    <w:rsid w:val="1C3B6C63"/>
    <w:rsid w:val="1C4000B2"/>
    <w:rsid w:val="1C482A17"/>
    <w:rsid w:val="1C4C0CF3"/>
    <w:rsid w:val="1C524FE6"/>
    <w:rsid w:val="1C5B1EE6"/>
    <w:rsid w:val="1C6074FD"/>
    <w:rsid w:val="1C672639"/>
    <w:rsid w:val="1C707F80"/>
    <w:rsid w:val="1C760ACE"/>
    <w:rsid w:val="1C821221"/>
    <w:rsid w:val="1C875D8D"/>
    <w:rsid w:val="1C8E7ED4"/>
    <w:rsid w:val="1C9F6277"/>
    <w:rsid w:val="1CA613B3"/>
    <w:rsid w:val="1CAD5393"/>
    <w:rsid w:val="1CC01D49"/>
    <w:rsid w:val="1CCE26B8"/>
    <w:rsid w:val="1CDF0421"/>
    <w:rsid w:val="1CDF203E"/>
    <w:rsid w:val="1CF37D41"/>
    <w:rsid w:val="1CF71C0F"/>
    <w:rsid w:val="1CFC179E"/>
    <w:rsid w:val="1CFD1DFA"/>
    <w:rsid w:val="1CFE79ED"/>
    <w:rsid w:val="1D01483C"/>
    <w:rsid w:val="1D032ACB"/>
    <w:rsid w:val="1D04257E"/>
    <w:rsid w:val="1D063C00"/>
    <w:rsid w:val="1D0B7468"/>
    <w:rsid w:val="1D110E86"/>
    <w:rsid w:val="1D1207F7"/>
    <w:rsid w:val="1D206E59"/>
    <w:rsid w:val="1D3712AF"/>
    <w:rsid w:val="1D3E15EC"/>
    <w:rsid w:val="1D464944"/>
    <w:rsid w:val="1D487E55"/>
    <w:rsid w:val="1D4961E3"/>
    <w:rsid w:val="1D4A4435"/>
    <w:rsid w:val="1D507571"/>
    <w:rsid w:val="1D596426"/>
    <w:rsid w:val="1D5A19BD"/>
    <w:rsid w:val="1D5A7FB3"/>
    <w:rsid w:val="1D637C02"/>
    <w:rsid w:val="1D6F3E9B"/>
    <w:rsid w:val="1D7E7C3A"/>
    <w:rsid w:val="1D8673FA"/>
    <w:rsid w:val="1D8F3529"/>
    <w:rsid w:val="1D9072CB"/>
    <w:rsid w:val="1D9E652E"/>
    <w:rsid w:val="1DA530EA"/>
    <w:rsid w:val="1DA82B34"/>
    <w:rsid w:val="1DAF6046"/>
    <w:rsid w:val="1DB01DBE"/>
    <w:rsid w:val="1DB960E5"/>
    <w:rsid w:val="1DC767F5"/>
    <w:rsid w:val="1DD45AAC"/>
    <w:rsid w:val="1DDB719F"/>
    <w:rsid w:val="1DF75C3F"/>
    <w:rsid w:val="1DFC5003"/>
    <w:rsid w:val="1E004AF3"/>
    <w:rsid w:val="1E0277E4"/>
    <w:rsid w:val="1E032835"/>
    <w:rsid w:val="1E0A387F"/>
    <w:rsid w:val="1E122A78"/>
    <w:rsid w:val="1E2527AC"/>
    <w:rsid w:val="1E296067"/>
    <w:rsid w:val="1E42335E"/>
    <w:rsid w:val="1E543091"/>
    <w:rsid w:val="1E5E5132"/>
    <w:rsid w:val="1E636E30"/>
    <w:rsid w:val="1E6E4153"/>
    <w:rsid w:val="1E735627"/>
    <w:rsid w:val="1EA336D1"/>
    <w:rsid w:val="1EA77665"/>
    <w:rsid w:val="1EB14D57"/>
    <w:rsid w:val="1EB1601C"/>
    <w:rsid w:val="1EBE5EA1"/>
    <w:rsid w:val="1EC41E3F"/>
    <w:rsid w:val="1ECE4BF1"/>
    <w:rsid w:val="1ED27DCF"/>
    <w:rsid w:val="1F022D8D"/>
    <w:rsid w:val="1F040613"/>
    <w:rsid w:val="1F0D6D94"/>
    <w:rsid w:val="1F134CFA"/>
    <w:rsid w:val="1F186F92"/>
    <w:rsid w:val="1F1D3483"/>
    <w:rsid w:val="1F2100E2"/>
    <w:rsid w:val="1F2138EB"/>
    <w:rsid w:val="1F242A63"/>
    <w:rsid w:val="1F6115C2"/>
    <w:rsid w:val="1F69491A"/>
    <w:rsid w:val="1F6F1B08"/>
    <w:rsid w:val="1F71091D"/>
    <w:rsid w:val="1F7D3F22"/>
    <w:rsid w:val="1F833C2E"/>
    <w:rsid w:val="1F860324"/>
    <w:rsid w:val="1F887176"/>
    <w:rsid w:val="1F8A1924"/>
    <w:rsid w:val="1F8F25D3"/>
    <w:rsid w:val="1F925C1F"/>
    <w:rsid w:val="1F933A50"/>
    <w:rsid w:val="1FA3607E"/>
    <w:rsid w:val="1FA45298"/>
    <w:rsid w:val="1FB22E97"/>
    <w:rsid w:val="1FB97650"/>
    <w:rsid w:val="1FBE07C2"/>
    <w:rsid w:val="1FD61FB0"/>
    <w:rsid w:val="1FEB532F"/>
    <w:rsid w:val="1FF72E31"/>
    <w:rsid w:val="1FF74EA9"/>
    <w:rsid w:val="1FFC0927"/>
    <w:rsid w:val="1FFE3FD4"/>
    <w:rsid w:val="1FFF3378"/>
    <w:rsid w:val="20054643"/>
    <w:rsid w:val="201B7BC2"/>
    <w:rsid w:val="20256A93"/>
    <w:rsid w:val="202A4C7D"/>
    <w:rsid w:val="202E47D6"/>
    <w:rsid w:val="203C6C45"/>
    <w:rsid w:val="204333BD"/>
    <w:rsid w:val="20491632"/>
    <w:rsid w:val="20527E04"/>
    <w:rsid w:val="20535295"/>
    <w:rsid w:val="205729C5"/>
    <w:rsid w:val="205C03F4"/>
    <w:rsid w:val="205E1FA5"/>
    <w:rsid w:val="2067008A"/>
    <w:rsid w:val="206C499D"/>
    <w:rsid w:val="206D21E8"/>
    <w:rsid w:val="20721597"/>
    <w:rsid w:val="207215AC"/>
    <w:rsid w:val="20735A50"/>
    <w:rsid w:val="20790B8D"/>
    <w:rsid w:val="208E0306"/>
    <w:rsid w:val="20A24D52"/>
    <w:rsid w:val="20A976C4"/>
    <w:rsid w:val="20AD3775"/>
    <w:rsid w:val="20B020A7"/>
    <w:rsid w:val="20B120D5"/>
    <w:rsid w:val="20B80C73"/>
    <w:rsid w:val="20BA11DD"/>
    <w:rsid w:val="20C242E2"/>
    <w:rsid w:val="20CA13E8"/>
    <w:rsid w:val="20CB12D5"/>
    <w:rsid w:val="20EE157B"/>
    <w:rsid w:val="20F52909"/>
    <w:rsid w:val="20F74498"/>
    <w:rsid w:val="20FF2B42"/>
    <w:rsid w:val="20FF63E2"/>
    <w:rsid w:val="210668C5"/>
    <w:rsid w:val="21094AE0"/>
    <w:rsid w:val="210E39CB"/>
    <w:rsid w:val="211B1C44"/>
    <w:rsid w:val="21254871"/>
    <w:rsid w:val="21263B5B"/>
    <w:rsid w:val="21313216"/>
    <w:rsid w:val="21470C8B"/>
    <w:rsid w:val="214C0E71"/>
    <w:rsid w:val="214D5A5C"/>
    <w:rsid w:val="21535882"/>
    <w:rsid w:val="21562C7C"/>
    <w:rsid w:val="215A276C"/>
    <w:rsid w:val="215D476D"/>
    <w:rsid w:val="215F4E8A"/>
    <w:rsid w:val="21620A6E"/>
    <w:rsid w:val="21626312"/>
    <w:rsid w:val="21723F5A"/>
    <w:rsid w:val="21764626"/>
    <w:rsid w:val="21886E30"/>
    <w:rsid w:val="218B501C"/>
    <w:rsid w:val="21957C48"/>
    <w:rsid w:val="219739C1"/>
    <w:rsid w:val="219A525F"/>
    <w:rsid w:val="21A25EC1"/>
    <w:rsid w:val="21AB746C"/>
    <w:rsid w:val="21B04A82"/>
    <w:rsid w:val="21B53E47"/>
    <w:rsid w:val="21BF4CC5"/>
    <w:rsid w:val="21CB69A9"/>
    <w:rsid w:val="21DC7625"/>
    <w:rsid w:val="21E343DC"/>
    <w:rsid w:val="21E40288"/>
    <w:rsid w:val="21EC3B3A"/>
    <w:rsid w:val="21ED538F"/>
    <w:rsid w:val="21F42BC1"/>
    <w:rsid w:val="21F91F85"/>
    <w:rsid w:val="21F93D33"/>
    <w:rsid w:val="220F2F23"/>
    <w:rsid w:val="220F47F9"/>
    <w:rsid w:val="22205764"/>
    <w:rsid w:val="222114DC"/>
    <w:rsid w:val="2230218C"/>
    <w:rsid w:val="22356D36"/>
    <w:rsid w:val="224C0AEF"/>
    <w:rsid w:val="22596EC8"/>
    <w:rsid w:val="226732BD"/>
    <w:rsid w:val="2274785E"/>
    <w:rsid w:val="228D0920"/>
    <w:rsid w:val="228F7500"/>
    <w:rsid w:val="2297761B"/>
    <w:rsid w:val="22977A3D"/>
    <w:rsid w:val="22A87507"/>
    <w:rsid w:val="22BD1205"/>
    <w:rsid w:val="22C233F3"/>
    <w:rsid w:val="22C30A5B"/>
    <w:rsid w:val="22C81958"/>
    <w:rsid w:val="22C95DFC"/>
    <w:rsid w:val="22D14CB0"/>
    <w:rsid w:val="22D8603F"/>
    <w:rsid w:val="22E542B8"/>
    <w:rsid w:val="22EA5CE4"/>
    <w:rsid w:val="22EC3898"/>
    <w:rsid w:val="22F42078"/>
    <w:rsid w:val="22F65234"/>
    <w:rsid w:val="22FB3FA8"/>
    <w:rsid w:val="230230BC"/>
    <w:rsid w:val="230C7A96"/>
    <w:rsid w:val="23166B67"/>
    <w:rsid w:val="234B1E55"/>
    <w:rsid w:val="234D7060"/>
    <w:rsid w:val="23515944"/>
    <w:rsid w:val="23570963"/>
    <w:rsid w:val="23582CDC"/>
    <w:rsid w:val="235C0A1E"/>
    <w:rsid w:val="2366189C"/>
    <w:rsid w:val="23724388"/>
    <w:rsid w:val="2374033C"/>
    <w:rsid w:val="237408CA"/>
    <w:rsid w:val="23757C18"/>
    <w:rsid w:val="23775858"/>
    <w:rsid w:val="238166D6"/>
    <w:rsid w:val="23843AD1"/>
    <w:rsid w:val="239D302C"/>
    <w:rsid w:val="239E1FF2"/>
    <w:rsid w:val="23AC7179"/>
    <w:rsid w:val="23AD74CB"/>
    <w:rsid w:val="23AE4FF1"/>
    <w:rsid w:val="23B80E5E"/>
    <w:rsid w:val="23C55B03"/>
    <w:rsid w:val="23C6058D"/>
    <w:rsid w:val="23CB6437"/>
    <w:rsid w:val="23D507D0"/>
    <w:rsid w:val="23D9206E"/>
    <w:rsid w:val="23F058F7"/>
    <w:rsid w:val="23F37571"/>
    <w:rsid w:val="240072E8"/>
    <w:rsid w:val="240E783E"/>
    <w:rsid w:val="241412F8"/>
    <w:rsid w:val="24181502"/>
    <w:rsid w:val="2418246B"/>
    <w:rsid w:val="242332EA"/>
    <w:rsid w:val="24255DD1"/>
    <w:rsid w:val="2443573A"/>
    <w:rsid w:val="24457704"/>
    <w:rsid w:val="24477413"/>
    <w:rsid w:val="2451287F"/>
    <w:rsid w:val="246F29D3"/>
    <w:rsid w:val="24720BE5"/>
    <w:rsid w:val="2483647E"/>
    <w:rsid w:val="24893795"/>
    <w:rsid w:val="248A15BB"/>
    <w:rsid w:val="24907EC5"/>
    <w:rsid w:val="249209C1"/>
    <w:rsid w:val="24942439"/>
    <w:rsid w:val="24A87C93"/>
    <w:rsid w:val="24AC7783"/>
    <w:rsid w:val="24B11346"/>
    <w:rsid w:val="24B8590D"/>
    <w:rsid w:val="24B905B9"/>
    <w:rsid w:val="24BB1774"/>
    <w:rsid w:val="24BB5C18"/>
    <w:rsid w:val="24BD71A8"/>
    <w:rsid w:val="24D548E3"/>
    <w:rsid w:val="24D6035C"/>
    <w:rsid w:val="24D665AE"/>
    <w:rsid w:val="24EC0F48"/>
    <w:rsid w:val="24F125CC"/>
    <w:rsid w:val="24F42ED8"/>
    <w:rsid w:val="251B66B7"/>
    <w:rsid w:val="2523639E"/>
    <w:rsid w:val="253357AE"/>
    <w:rsid w:val="2536704D"/>
    <w:rsid w:val="253F7A13"/>
    <w:rsid w:val="254F010E"/>
    <w:rsid w:val="2561056D"/>
    <w:rsid w:val="256E2C8A"/>
    <w:rsid w:val="257B2708"/>
    <w:rsid w:val="257E2025"/>
    <w:rsid w:val="257F6C45"/>
    <w:rsid w:val="258778A8"/>
    <w:rsid w:val="259A65EA"/>
    <w:rsid w:val="259D70CC"/>
    <w:rsid w:val="25A77F4A"/>
    <w:rsid w:val="25A862DF"/>
    <w:rsid w:val="25AC5561"/>
    <w:rsid w:val="25B13D7D"/>
    <w:rsid w:val="25B52667"/>
    <w:rsid w:val="25BB72CB"/>
    <w:rsid w:val="25C40AFC"/>
    <w:rsid w:val="25C77B3F"/>
    <w:rsid w:val="25C94365"/>
    <w:rsid w:val="25CA43A7"/>
    <w:rsid w:val="25CE197B"/>
    <w:rsid w:val="25F203BA"/>
    <w:rsid w:val="25FA2770"/>
    <w:rsid w:val="25FE3495"/>
    <w:rsid w:val="260A341E"/>
    <w:rsid w:val="26105AEF"/>
    <w:rsid w:val="26143E25"/>
    <w:rsid w:val="26162FF5"/>
    <w:rsid w:val="261D58CB"/>
    <w:rsid w:val="26265313"/>
    <w:rsid w:val="2636290B"/>
    <w:rsid w:val="26393298"/>
    <w:rsid w:val="263B7010"/>
    <w:rsid w:val="26431A21"/>
    <w:rsid w:val="26451C3D"/>
    <w:rsid w:val="264C410F"/>
    <w:rsid w:val="26667E05"/>
    <w:rsid w:val="26720558"/>
    <w:rsid w:val="26747E2C"/>
    <w:rsid w:val="26793695"/>
    <w:rsid w:val="26926505"/>
    <w:rsid w:val="26A17DE4"/>
    <w:rsid w:val="26AA5F44"/>
    <w:rsid w:val="26C03072"/>
    <w:rsid w:val="26C17F9E"/>
    <w:rsid w:val="26EA27E4"/>
    <w:rsid w:val="26EF572B"/>
    <w:rsid w:val="26F40614"/>
    <w:rsid w:val="27070CA1"/>
    <w:rsid w:val="270C62B7"/>
    <w:rsid w:val="27167136"/>
    <w:rsid w:val="271E5FEA"/>
    <w:rsid w:val="273D46C2"/>
    <w:rsid w:val="2767173F"/>
    <w:rsid w:val="276C4964"/>
    <w:rsid w:val="27747911"/>
    <w:rsid w:val="27801341"/>
    <w:rsid w:val="278E1F0E"/>
    <w:rsid w:val="279B3ADF"/>
    <w:rsid w:val="279E53FC"/>
    <w:rsid w:val="27A26AA4"/>
    <w:rsid w:val="27A40BE5"/>
    <w:rsid w:val="27AD5EF5"/>
    <w:rsid w:val="27BA026B"/>
    <w:rsid w:val="27BD3A55"/>
    <w:rsid w:val="27BE1EE9"/>
    <w:rsid w:val="27CB7D59"/>
    <w:rsid w:val="27D8088F"/>
    <w:rsid w:val="27DD40F7"/>
    <w:rsid w:val="27F11841"/>
    <w:rsid w:val="28001620"/>
    <w:rsid w:val="28054684"/>
    <w:rsid w:val="280A18FA"/>
    <w:rsid w:val="281652C2"/>
    <w:rsid w:val="28235CB1"/>
    <w:rsid w:val="28237D5C"/>
    <w:rsid w:val="2826784C"/>
    <w:rsid w:val="283C7070"/>
    <w:rsid w:val="284444C1"/>
    <w:rsid w:val="284657F9"/>
    <w:rsid w:val="28593962"/>
    <w:rsid w:val="28612632"/>
    <w:rsid w:val="28645844"/>
    <w:rsid w:val="28702875"/>
    <w:rsid w:val="287205E0"/>
    <w:rsid w:val="288051AE"/>
    <w:rsid w:val="28810F26"/>
    <w:rsid w:val="288307FB"/>
    <w:rsid w:val="28840803"/>
    <w:rsid w:val="288B76AF"/>
    <w:rsid w:val="288E7690"/>
    <w:rsid w:val="2892356B"/>
    <w:rsid w:val="289A78F2"/>
    <w:rsid w:val="28A013AD"/>
    <w:rsid w:val="28C61126"/>
    <w:rsid w:val="28CD6A08"/>
    <w:rsid w:val="28E16812"/>
    <w:rsid w:val="28E45F21"/>
    <w:rsid w:val="28E55011"/>
    <w:rsid w:val="28F92766"/>
    <w:rsid w:val="2920604A"/>
    <w:rsid w:val="2925213E"/>
    <w:rsid w:val="29283150"/>
    <w:rsid w:val="292A511A"/>
    <w:rsid w:val="292F0982"/>
    <w:rsid w:val="294C023C"/>
    <w:rsid w:val="295201CD"/>
    <w:rsid w:val="29575541"/>
    <w:rsid w:val="2958126A"/>
    <w:rsid w:val="29641857"/>
    <w:rsid w:val="296A19BB"/>
    <w:rsid w:val="29796F88"/>
    <w:rsid w:val="29883BEF"/>
    <w:rsid w:val="298C1931"/>
    <w:rsid w:val="29946A38"/>
    <w:rsid w:val="29973FC9"/>
    <w:rsid w:val="299B6018"/>
    <w:rsid w:val="299C1C19"/>
    <w:rsid w:val="29A0718A"/>
    <w:rsid w:val="29A273A6"/>
    <w:rsid w:val="29A547A1"/>
    <w:rsid w:val="29A900EC"/>
    <w:rsid w:val="29AB7F2B"/>
    <w:rsid w:val="29AC1FD3"/>
    <w:rsid w:val="29B23BBA"/>
    <w:rsid w:val="29B77403"/>
    <w:rsid w:val="29C21110"/>
    <w:rsid w:val="29D3130E"/>
    <w:rsid w:val="29F034B9"/>
    <w:rsid w:val="29F574D6"/>
    <w:rsid w:val="29FA2D3E"/>
    <w:rsid w:val="29FD7BB5"/>
    <w:rsid w:val="2A01191F"/>
    <w:rsid w:val="2A04596B"/>
    <w:rsid w:val="2A0616E3"/>
    <w:rsid w:val="2A0E67EA"/>
    <w:rsid w:val="2A157B78"/>
    <w:rsid w:val="2A202079"/>
    <w:rsid w:val="2A204246"/>
    <w:rsid w:val="2A247DBB"/>
    <w:rsid w:val="2A252C00"/>
    <w:rsid w:val="2A263B34"/>
    <w:rsid w:val="2A351FC9"/>
    <w:rsid w:val="2A3C3357"/>
    <w:rsid w:val="2A3D2C2B"/>
    <w:rsid w:val="2A461C9A"/>
    <w:rsid w:val="2A5F7045"/>
    <w:rsid w:val="2A624DAB"/>
    <w:rsid w:val="2A703001"/>
    <w:rsid w:val="2A7072EF"/>
    <w:rsid w:val="2A764E36"/>
    <w:rsid w:val="2A7F3C99"/>
    <w:rsid w:val="2A7F4FF2"/>
    <w:rsid w:val="2A826529"/>
    <w:rsid w:val="2A975BCA"/>
    <w:rsid w:val="2AC06748"/>
    <w:rsid w:val="2AC44732"/>
    <w:rsid w:val="2AC656AD"/>
    <w:rsid w:val="2ACE1AD5"/>
    <w:rsid w:val="2ACF5F79"/>
    <w:rsid w:val="2AE51C90"/>
    <w:rsid w:val="2AE75C53"/>
    <w:rsid w:val="2AEB08D9"/>
    <w:rsid w:val="2AEC23B9"/>
    <w:rsid w:val="2AF21C68"/>
    <w:rsid w:val="2AF4148F"/>
    <w:rsid w:val="2AF8282F"/>
    <w:rsid w:val="2AFF670F"/>
    <w:rsid w:val="2B154319"/>
    <w:rsid w:val="2B2A77D1"/>
    <w:rsid w:val="2B2D0EF2"/>
    <w:rsid w:val="2B2F6A18"/>
    <w:rsid w:val="2B320492"/>
    <w:rsid w:val="2B365FF8"/>
    <w:rsid w:val="2B3C2EE3"/>
    <w:rsid w:val="2B434271"/>
    <w:rsid w:val="2B487ADA"/>
    <w:rsid w:val="2B514BE0"/>
    <w:rsid w:val="2B8419BB"/>
    <w:rsid w:val="2B870602"/>
    <w:rsid w:val="2B93029A"/>
    <w:rsid w:val="2B960820"/>
    <w:rsid w:val="2BA94A1C"/>
    <w:rsid w:val="2BB93744"/>
    <w:rsid w:val="2BCC4267"/>
    <w:rsid w:val="2BDA3543"/>
    <w:rsid w:val="2BE07C9D"/>
    <w:rsid w:val="2BE07D12"/>
    <w:rsid w:val="2BF12898"/>
    <w:rsid w:val="2BF51A0F"/>
    <w:rsid w:val="2BF72CE4"/>
    <w:rsid w:val="2BFE4851"/>
    <w:rsid w:val="2C0725E1"/>
    <w:rsid w:val="2C245E51"/>
    <w:rsid w:val="2C2A57F5"/>
    <w:rsid w:val="2C323E1B"/>
    <w:rsid w:val="2C324A12"/>
    <w:rsid w:val="2C351E0C"/>
    <w:rsid w:val="2C3657B6"/>
    <w:rsid w:val="2C4402A1"/>
    <w:rsid w:val="2C4604BD"/>
    <w:rsid w:val="2C4D265A"/>
    <w:rsid w:val="2C626979"/>
    <w:rsid w:val="2C6B1CD2"/>
    <w:rsid w:val="2C6F0711"/>
    <w:rsid w:val="2C6F0EDD"/>
    <w:rsid w:val="2C7843EE"/>
    <w:rsid w:val="2C932FD6"/>
    <w:rsid w:val="2C9C00DD"/>
    <w:rsid w:val="2CA156F3"/>
    <w:rsid w:val="2CAD35A4"/>
    <w:rsid w:val="2CB216AE"/>
    <w:rsid w:val="2CB2345D"/>
    <w:rsid w:val="2CB25B52"/>
    <w:rsid w:val="2CB30491"/>
    <w:rsid w:val="2CBC077F"/>
    <w:rsid w:val="2CCD06C9"/>
    <w:rsid w:val="2CCF04B2"/>
    <w:rsid w:val="2CE675AA"/>
    <w:rsid w:val="2D0C5AED"/>
    <w:rsid w:val="2D0E2AF2"/>
    <w:rsid w:val="2D0F461F"/>
    <w:rsid w:val="2D157E8F"/>
    <w:rsid w:val="2D2307FE"/>
    <w:rsid w:val="2D297497"/>
    <w:rsid w:val="2D2F71A3"/>
    <w:rsid w:val="2D3C366E"/>
    <w:rsid w:val="2D524F6C"/>
    <w:rsid w:val="2D6646E1"/>
    <w:rsid w:val="2D725915"/>
    <w:rsid w:val="2D832920"/>
    <w:rsid w:val="2D853D5B"/>
    <w:rsid w:val="2D8A43D9"/>
    <w:rsid w:val="2D8D3ECA"/>
    <w:rsid w:val="2D8F19F0"/>
    <w:rsid w:val="2D8F379E"/>
    <w:rsid w:val="2D984D48"/>
    <w:rsid w:val="2D9E1C33"/>
    <w:rsid w:val="2DA77037"/>
    <w:rsid w:val="2DB80F46"/>
    <w:rsid w:val="2DB87198"/>
    <w:rsid w:val="2DB92998"/>
    <w:rsid w:val="2DBB27E5"/>
    <w:rsid w:val="2DCC119B"/>
    <w:rsid w:val="2DCD42C6"/>
    <w:rsid w:val="2DCE61A5"/>
    <w:rsid w:val="2DCF003E"/>
    <w:rsid w:val="2DD90EBD"/>
    <w:rsid w:val="2DDA47E2"/>
    <w:rsid w:val="2DDB4B4A"/>
    <w:rsid w:val="2DDD6BFF"/>
    <w:rsid w:val="2DDE2919"/>
    <w:rsid w:val="2DE51608"/>
    <w:rsid w:val="2DEA131C"/>
    <w:rsid w:val="2DFE05F6"/>
    <w:rsid w:val="2E0423DE"/>
    <w:rsid w:val="2E04418C"/>
    <w:rsid w:val="2E052EE6"/>
    <w:rsid w:val="2E0E6DB8"/>
    <w:rsid w:val="2E232138"/>
    <w:rsid w:val="2E2670B3"/>
    <w:rsid w:val="2E2D0067"/>
    <w:rsid w:val="2E3031D3"/>
    <w:rsid w:val="2E3B49A1"/>
    <w:rsid w:val="2E48049B"/>
    <w:rsid w:val="2E4850A2"/>
    <w:rsid w:val="2E494294"/>
    <w:rsid w:val="2E496043"/>
    <w:rsid w:val="2E4C2321"/>
    <w:rsid w:val="2E536EC1"/>
    <w:rsid w:val="2E5D564A"/>
    <w:rsid w:val="2E680C36"/>
    <w:rsid w:val="2E725599"/>
    <w:rsid w:val="2E7D5CEC"/>
    <w:rsid w:val="2E7F3812"/>
    <w:rsid w:val="2E8E1CA7"/>
    <w:rsid w:val="2EA80FBB"/>
    <w:rsid w:val="2EAB4607"/>
    <w:rsid w:val="2EC06357"/>
    <w:rsid w:val="2EC1207D"/>
    <w:rsid w:val="2EC15BD9"/>
    <w:rsid w:val="2EC53539"/>
    <w:rsid w:val="2ECA39AF"/>
    <w:rsid w:val="2ECC4915"/>
    <w:rsid w:val="2ECF113A"/>
    <w:rsid w:val="2ED00512"/>
    <w:rsid w:val="2ED95618"/>
    <w:rsid w:val="2EDF69A7"/>
    <w:rsid w:val="2EF7784D"/>
    <w:rsid w:val="2EF97A69"/>
    <w:rsid w:val="2EFA558F"/>
    <w:rsid w:val="2EFE507F"/>
    <w:rsid w:val="2F0223AB"/>
    <w:rsid w:val="2F430CE4"/>
    <w:rsid w:val="2F452CAE"/>
    <w:rsid w:val="2F5527C5"/>
    <w:rsid w:val="2F5C7FF7"/>
    <w:rsid w:val="2F5E78CC"/>
    <w:rsid w:val="2F6957CC"/>
    <w:rsid w:val="2F754C15"/>
    <w:rsid w:val="2F840494"/>
    <w:rsid w:val="2F857792"/>
    <w:rsid w:val="2F8A06C1"/>
    <w:rsid w:val="2F8A6440"/>
    <w:rsid w:val="2F923A19"/>
    <w:rsid w:val="2F927575"/>
    <w:rsid w:val="2FB471B8"/>
    <w:rsid w:val="2FC242FE"/>
    <w:rsid w:val="2FC400E6"/>
    <w:rsid w:val="2FCC6F2B"/>
    <w:rsid w:val="2FCD4A51"/>
    <w:rsid w:val="2FDC7881"/>
    <w:rsid w:val="2FDD4C94"/>
    <w:rsid w:val="2FDE3042"/>
    <w:rsid w:val="2FDE7E3B"/>
    <w:rsid w:val="2FEE7E64"/>
    <w:rsid w:val="2FF40230"/>
    <w:rsid w:val="2FFE4C0B"/>
    <w:rsid w:val="30161F54"/>
    <w:rsid w:val="30185CCC"/>
    <w:rsid w:val="301D1535"/>
    <w:rsid w:val="3049730B"/>
    <w:rsid w:val="304B1246"/>
    <w:rsid w:val="305568FC"/>
    <w:rsid w:val="30585DF6"/>
    <w:rsid w:val="305D4027"/>
    <w:rsid w:val="30617519"/>
    <w:rsid w:val="30666833"/>
    <w:rsid w:val="30717AD3"/>
    <w:rsid w:val="30847806"/>
    <w:rsid w:val="308570DA"/>
    <w:rsid w:val="3094283E"/>
    <w:rsid w:val="309A6342"/>
    <w:rsid w:val="30AB66A8"/>
    <w:rsid w:val="30BA6D84"/>
    <w:rsid w:val="30DA39B5"/>
    <w:rsid w:val="30E11048"/>
    <w:rsid w:val="30E16A06"/>
    <w:rsid w:val="30E4644A"/>
    <w:rsid w:val="30F32296"/>
    <w:rsid w:val="30F671A3"/>
    <w:rsid w:val="30F71D86"/>
    <w:rsid w:val="30F90DB8"/>
    <w:rsid w:val="31012C04"/>
    <w:rsid w:val="310C5404"/>
    <w:rsid w:val="31140B8A"/>
    <w:rsid w:val="311D18F2"/>
    <w:rsid w:val="311E5564"/>
    <w:rsid w:val="31285B60"/>
    <w:rsid w:val="313A6116"/>
    <w:rsid w:val="313A7EC4"/>
    <w:rsid w:val="31413001"/>
    <w:rsid w:val="31532D34"/>
    <w:rsid w:val="31534C28"/>
    <w:rsid w:val="31610221"/>
    <w:rsid w:val="316D2048"/>
    <w:rsid w:val="316F5349"/>
    <w:rsid w:val="317C7A6B"/>
    <w:rsid w:val="3196159F"/>
    <w:rsid w:val="319962F6"/>
    <w:rsid w:val="319B63CF"/>
    <w:rsid w:val="319F72C8"/>
    <w:rsid w:val="31A57ABC"/>
    <w:rsid w:val="31A735CA"/>
    <w:rsid w:val="31B45EC9"/>
    <w:rsid w:val="31C37EBA"/>
    <w:rsid w:val="31DB3455"/>
    <w:rsid w:val="31E340B8"/>
    <w:rsid w:val="31E813D0"/>
    <w:rsid w:val="31EA643A"/>
    <w:rsid w:val="31F44319"/>
    <w:rsid w:val="31FA0F44"/>
    <w:rsid w:val="31FA63E7"/>
    <w:rsid w:val="32052697"/>
    <w:rsid w:val="32075FF9"/>
    <w:rsid w:val="320C4A2E"/>
    <w:rsid w:val="32144BB9"/>
    <w:rsid w:val="321C4A6C"/>
    <w:rsid w:val="321E410B"/>
    <w:rsid w:val="322039B3"/>
    <w:rsid w:val="32290665"/>
    <w:rsid w:val="32292413"/>
    <w:rsid w:val="323C2EFC"/>
    <w:rsid w:val="324A2916"/>
    <w:rsid w:val="32540146"/>
    <w:rsid w:val="3259184C"/>
    <w:rsid w:val="325C441C"/>
    <w:rsid w:val="326F3B9E"/>
    <w:rsid w:val="327B69E7"/>
    <w:rsid w:val="327F0285"/>
    <w:rsid w:val="327F64D7"/>
    <w:rsid w:val="3287538B"/>
    <w:rsid w:val="3291620A"/>
    <w:rsid w:val="3293788C"/>
    <w:rsid w:val="32955444"/>
    <w:rsid w:val="32991A14"/>
    <w:rsid w:val="329A50BF"/>
    <w:rsid w:val="32AA336E"/>
    <w:rsid w:val="32AB5B23"/>
    <w:rsid w:val="32AF6333"/>
    <w:rsid w:val="32D06D32"/>
    <w:rsid w:val="32DB1C5F"/>
    <w:rsid w:val="32DD7134"/>
    <w:rsid w:val="32DE617E"/>
    <w:rsid w:val="32EE0F67"/>
    <w:rsid w:val="32F347CF"/>
    <w:rsid w:val="32F56799"/>
    <w:rsid w:val="32F62030"/>
    <w:rsid w:val="32FA1ACE"/>
    <w:rsid w:val="32FE25CD"/>
    <w:rsid w:val="33114C55"/>
    <w:rsid w:val="33240E2C"/>
    <w:rsid w:val="3328091C"/>
    <w:rsid w:val="332C1A8F"/>
    <w:rsid w:val="33353039"/>
    <w:rsid w:val="335E62F2"/>
    <w:rsid w:val="336851BD"/>
    <w:rsid w:val="337B4EF0"/>
    <w:rsid w:val="33811DDB"/>
    <w:rsid w:val="338E62A6"/>
    <w:rsid w:val="339064C2"/>
    <w:rsid w:val="339320C6"/>
    <w:rsid w:val="33A1247D"/>
    <w:rsid w:val="33A67A93"/>
    <w:rsid w:val="33A855B9"/>
    <w:rsid w:val="33A9318D"/>
    <w:rsid w:val="33B977C6"/>
    <w:rsid w:val="33BE0B87"/>
    <w:rsid w:val="33C323F3"/>
    <w:rsid w:val="33C341A1"/>
    <w:rsid w:val="33C543BD"/>
    <w:rsid w:val="33CA19D4"/>
    <w:rsid w:val="33D21DEC"/>
    <w:rsid w:val="33D978ED"/>
    <w:rsid w:val="33DC1707"/>
    <w:rsid w:val="33E323BD"/>
    <w:rsid w:val="33EA3373"/>
    <w:rsid w:val="33EA3E24"/>
    <w:rsid w:val="33EC40A9"/>
    <w:rsid w:val="33EC7B9C"/>
    <w:rsid w:val="33FE31F0"/>
    <w:rsid w:val="340516CD"/>
    <w:rsid w:val="340F5638"/>
    <w:rsid w:val="340F73E6"/>
    <w:rsid w:val="341113B0"/>
    <w:rsid w:val="34180991"/>
    <w:rsid w:val="341B222F"/>
    <w:rsid w:val="341B6005"/>
    <w:rsid w:val="341D5FA7"/>
    <w:rsid w:val="3422688D"/>
    <w:rsid w:val="342667DB"/>
    <w:rsid w:val="34270BD4"/>
    <w:rsid w:val="342A06C4"/>
    <w:rsid w:val="342B0087"/>
    <w:rsid w:val="342D2741"/>
    <w:rsid w:val="343926B5"/>
    <w:rsid w:val="34480B4A"/>
    <w:rsid w:val="344C4197"/>
    <w:rsid w:val="344D3968"/>
    <w:rsid w:val="345B6AD0"/>
    <w:rsid w:val="346044D6"/>
    <w:rsid w:val="346314E0"/>
    <w:rsid w:val="346634DB"/>
    <w:rsid w:val="3473029D"/>
    <w:rsid w:val="3474193F"/>
    <w:rsid w:val="347831DE"/>
    <w:rsid w:val="347B4B2C"/>
    <w:rsid w:val="347E0A23"/>
    <w:rsid w:val="34830137"/>
    <w:rsid w:val="3491604D"/>
    <w:rsid w:val="349A75F8"/>
    <w:rsid w:val="34AA710F"/>
    <w:rsid w:val="34B561E0"/>
    <w:rsid w:val="34BF705E"/>
    <w:rsid w:val="34C113C9"/>
    <w:rsid w:val="34C37AAD"/>
    <w:rsid w:val="34CD4E22"/>
    <w:rsid w:val="34D32B0A"/>
    <w:rsid w:val="34D66156"/>
    <w:rsid w:val="34D92640"/>
    <w:rsid w:val="34E07C8A"/>
    <w:rsid w:val="34E70363"/>
    <w:rsid w:val="34E73EBF"/>
    <w:rsid w:val="34EB6561"/>
    <w:rsid w:val="34F62354"/>
    <w:rsid w:val="34F72ADF"/>
    <w:rsid w:val="3522139B"/>
    <w:rsid w:val="3524568E"/>
    <w:rsid w:val="352F6614"/>
    <w:rsid w:val="353115DE"/>
    <w:rsid w:val="353C420B"/>
    <w:rsid w:val="353F5480"/>
    <w:rsid w:val="35464E57"/>
    <w:rsid w:val="355D23D3"/>
    <w:rsid w:val="35681BF4"/>
    <w:rsid w:val="356E638F"/>
    <w:rsid w:val="357339A5"/>
    <w:rsid w:val="35803E13"/>
    <w:rsid w:val="35845BB2"/>
    <w:rsid w:val="358A766C"/>
    <w:rsid w:val="358B239B"/>
    <w:rsid w:val="35904557"/>
    <w:rsid w:val="359152E1"/>
    <w:rsid w:val="3592207D"/>
    <w:rsid w:val="35A3428A"/>
    <w:rsid w:val="35A54015"/>
    <w:rsid w:val="35C3492C"/>
    <w:rsid w:val="35D94B0C"/>
    <w:rsid w:val="35E13F3F"/>
    <w:rsid w:val="35F65BD2"/>
    <w:rsid w:val="360C48A6"/>
    <w:rsid w:val="361B02C4"/>
    <w:rsid w:val="362D624A"/>
    <w:rsid w:val="363941FA"/>
    <w:rsid w:val="364F4412"/>
    <w:rsid w:val="36634BAA"/>
    <w:rsid w:val="36685852"/>
    <w:rsid w:val="367560AE"/>
    <w:rsid w:val="36826596"/>
    <w:rsid w:val="368340BC"/>
    <w:rsid w:val="3699743B"/>
    <w:rsid w:val="369E2CA4"/>
    <w:rsid w:val="36A302BA"/>
    <w:rsid w:val="36C9112D"/>
    <w:rsid w:val="36C97DF8"/>
    <w:rsid w:val="36D36DF1"/>
    <w:rsid w:val="36DA45EC"/>
    <w:rsid w:val="36DD41B5"/>
    <w:rsid w:val="36EA0E4B"/>
    <w:rsid w:val="36EA5EE9"/>
    <w:rsid w:val="36F17277"/>
    <w:rsid w:val="36F24A5F"/>
    <w:rsid w:val="36F31241"/>
    <w:rsid w:val="36F56D67"/>
    <w:rsid w:val="3713725C"/>
    <w:rsid w:val="371C29D2"/>
    <w:rsid w:val="372C4753"/>
    <w:rsid w:val="37473116"/>
    <w:rsid w:val="3748158D"/>
    <w:rsid w:val="375F2433"/>
    <w:rsid w:val="3772660A"/>
    <w:rsid w:val="377F0D27"/>
    <w:rsid w:val="377F4883"/>
    <w:rsid w:val="37827BA6"/>
    <w:rsid w:val="379E11AD"/>
    <w:rsid w:val="37A740D2"/>
    <w:rsid w:val="37AE3AA5"/>
    <w:rsid w:val="37B07132"/>
    <w:rsid w:val="37B64AD5"/>
    <w:rsid w:val="37BF775F"/>
    <w:rsid w:val="37DA41AF"/>
    <w:rsid w:val="37E87F69"/>
    <w:rsid w:val="38066D52"/>
    <w:rsid w:val="380B25BB"/>
    <w:rsid w:val="380F4FE6"/>
    <w:rsid w:val="38196A86"/>
    <w:rsid w:val="381A1CAB"/>
    <w:rsid w:val="381F33F8"/>
    <w:rsid w:val="3821593A"/>
    <w:rsid w:val="38291D9F"/>
    <w:rsid w:val="38376F0C"/>
    <w:rsid w:val="383D6B6F"/>
    <w:rsid w:val="3841186D"/>
    <w:rsid w:val="384C7516"/>
    <w:rsid w:val="3853698F"/>
    <w:rsid w:val="3857135C"/>
    <w:rsid w:val="385B0E4C"/>
    <w:rsid w:val="38607848"/>
    <w:rsid w:val="38726196"/>
    <w:rsid w:val="38743CBC"/>
    <w:rsid w:val="387864DB"/>
    <w:rsid w:val="387F4E48"/>
    <w:rsid w:val="388D2FD0"/>
    <w:rsid w:val="38922A9A"/>
    <w:rsid w:val="389D3895"/>
    <w:rsid w:val="389F4656"/>
    <w:rsid w:val="38A02D03"/>
    <w:rsid w:val="38A071A7"/>
    <w:rsid w:val="38AD71CE"/>
    <w:rsid w:val="38AF1198"/>
    <w:rsid w:val="38B13162"/>
    <w:rsid w:val="38BD1B07"/>
    <w:rsid w:val="38C71FDF"/>
    <w:rsid w:val="38CD161E"/>
    <w:rsid w:val="38D1110E"/>
    <w:rsid w:val="38D429AD"/>
    <w:rsid w:val="38DC28FA"/>
    <w:rsid w:val="38E928FC"/>
    <w:rsid w:val="38EC5F48"/>
    <w:rsid w:val="38EF5A38"/>
    <w:rsid w:val="38FC1F69"/>
    <w:rsid w:val="39007E86"/>
    <w:rsid w:val="3914724D"/>
    <w:rsid w:val="391F0B5F"/>
    <w:rsid w:val="39202096"/>
    <w:rsid w:val="39237490"/>
    <w:rsid w:val="392B4CC2"/>
    <w:rsid w:val="39301A51"/>
    <w:rsid w:val="393D2C48"/>
    <w:rsid w:val="39445D84"/>
    <w:rsid w:val="3948754F"/>
    <w:rsid w:val="3949339B"/>
    <w:rsid w:val="394A2C6F"/>
    <w:rsid w:val="394C5990"/>
    <w:rsid w:val="394C69E7"/>
    <w:rsid w:val="395F7DB3"/>
    <w:rsid w:val="39644E8A"/>
    <w:rsid w:val="396F26D5"/>
    <w:rsid w:val="39943A03"/>
    <w:rsid w:val="39B02D48"/>
    <w:rsid w:val="39B203A1"/>
    <w:rsid w:val="39B303A0"/>
    <w:rsid w:val="39BE47D4"/>
    <w:rsid w:val="39BE51FE"/>
    <w:rsid w:val="39BF365D"/>
    <w:rsid w:val="39D21271"/>
    <w:rsid w:val="39DB63A8"/>
    <w:rsid w:val="39DC5FBD"/>
    <w:rsid w:val="39F61F6E"/>
    <w:rsid w:val="39F74BA5"/>
    <w:rsid w:val="39F94DC1"/>
    <w:rsid w:val="3A0245B7"/>
    <w:rsid w:val="3A085ED7"/>
    <w:rsid w:val="3A10210A"/>
    <w:rsid w:val="3A1E65D5"/>
    <w:rsid w:val="3A2156A9"/>
    <w:rsid w:val="3A3A5794"/>
    <w:rsid w:val="3A4678DA"/>
    <w:rsid w:val="3A4B4EF0"/>
    <w:rsid w:val="3A5622C2"/>
    <w:rsid w:val="3A5774FB"/>
    <w:rsid w:val="3A6B3AAC"/>
    <w:rsid w:val="3A6F5083"/>
    <w:rsid w:val="3A7A02A6"/>
    <w:rsid w:val="3A7A70F1"/>
    <w:rsid w:val="3A80103E"/>
    <w:rsid w:val="3A926896"/>
    <w:rsid w:val="3A954453"/>
    <w:rsid w:val="3A993EAE"/>
    <w:rsid w:val="3A9B5E78"/>
    <w:rsid w:val="3AA06FEA"/>
    <w:rsid w:val="3AA50B87"/>
    <w:rsid w:val="3AA52853"/>
    <w:rsid w:val="3AB2269E"/>
    <w:rsid w:val="3AB9131C"/>
    <w:rsid w:val="3AC1654B"/>
    <w:rsid w:val="3AC23405"/>
    <w:rsid w:val="3AC32CD9"/>
    <w:rsid w:val="3ACA4067"/>
    <w:rsid w:val="3AD512C6"/>
    <w:rsid w:val="3ADF38CB"/>
    <w:rsid w:val="3AE0243E"/>
    <w:rsid w:val="3AEA295B"/>
    <w:rsid w:val="3B1219D1"/>
    <w:rsid w:val="3B17706B"/>
    <w:rsid w:val="3B181AA8"/>
    <w:rsid w:val="3B2714BA"/>
    <w:rsid w:val="3B3A4BF1"/>
    <w:rsid w:val="3B3D2A8B"/>
    <w:rsid w:val="3B3F2CA7"/>
    <w:rsid w:val="3B4E2EEA"/>
    <w:rsid w:val="3B614852"/>
    <w:rsid w:val="3B8A4892"/>
    <w:rsid w:val="3B8A5AD7"/>
    <w:rsid w:val="3B981708"/>
    <w:rsid w:val="3BA66882"/>
    <w:rsid w:val="3BAF5AF0"/>
    <w:rsid w:val="3BB05953"/>
    <w:rsid w:val="3BB80364"/>
    <w:rsid w:val="3BC729A1"/>
    <w:rsid w:val="3BE178BA"/>
    <w:rsid w:val="3BE473AB"/>
    <w:rsid w:val="3BF534C5"/>
    <w:rsid w:val="3BFA6BCE"/>
    <w:rsid w:val="3BFD1854"/>
    <w:rsid w:val="3BFD221A"/>
    <w:rsid w:val="3BFE4802"/>
    <w:rsid w:val="3C0435A9"/>
    <w:rsid w:val="3C073099"/>
    <w:rsid w:val="3C0C6A1A"/>
    <w:rsid w:val="3C1732DC"/>
    <w:rsid w:val="3C1763FA"/>
    <w:rsid w:val="3C1A0A88"/>
    <w:rsid w:val="3C1F3894"/>
    <w:rsid w:val="3C2854E9"/>
    <w:rsid w:val="3C29300F"/>
    <w:rsid w:val="3C343766"/>
    <w:rsid w:val="3C3E2F5F"/>
    <w:rsid w:val="3C5067EE"/>
    <w:rsid w:val="3C5C33E5"/>
    <w:rsid w:val="3C5D51AA"/>
    <w:rsid w:val="3C5D7623"/>
    <w:rsid w:val="3C6D0BFD"/>
    <w:rsid w:val="3C74452F"/>
    <w:rsid w:val="3C7626F9"/>
    <w:rsid w:val="3C834E15"/>
    <w:rsid w:val="3C88242C"/>
    <w:rsid w:val="3C8F29F6"/>
    <w:rsid w:val="3C9C7C85"/>
    <w:rsid w:val="3CA22844"/>
    <w:rsid w:val="3CA97EC6"/>
    <w:rsid w:val="3CAF5C0A"/>
    <w:rsid w:val="3CB23005"/>
    <w:rsid w:val="3CBC20D5"/>
    <w:rsid w:val="3CDB255C"/>
    <w:rsid w:val="3CE010E0"/>
    <w:rsid w:val="3CE62E07"/>
    <w:rsid w:val="3CE83B32"/>
    <w:rsid w:val="3CF4186F"/>
    <w:rsid w:val="3CFB0E50"/>
    <w:rsid w:val="3D0C014B"/>
    <w:rsid w:val="3D11626E"/>
    <w:rsid w:val="3D163518"/>
    <w:rsid w:val="3D197A98"/>
    <w:rsid w:val="3D25483F"/>
    <w:rsid w:val="3D2F0AF9"/>
    <w:rsid w:val="3D4C31A4"/>
    <w:rsid w:val="3D51281E"/>
    <w:rsid w:val="3D546295"/>
    <w:rsid w:val="3D5A73D9"/>
    <w:rsid w:val="3D5B18EE"/>
    <w:rsid w:val="3D5F13DF"/>
    <w:rsid w:val="3D6C58AA"/>
    <w:rsid w:val="3D6D517E"/>
    <w:rsid w:val="3D74650C"/>
    <w:rsid w:val="3D7D5158"/>
    <w:rsid w:val="3D8F7DC5"/>
    <w:rsid w:val="3DA3269D"/>
    <w:rsid w:val="3DA45F92"/>
    <w:rsid w:val="3DC066C3"/>
    <w:rsid w:val="3DCC55BE"/>
    <w:rsid w:val="3DDF6D98"/>
    <w:rsid w:val="3DF7160A"/>
    <w:rsid w:val="3E0B6E71"/>
    <w:rsid w:val="3E10092B"/>
    <w:rsid w:val="3E1A5306"/>
    <w:rsid w:val="3E301089"/>
    <w:rsid w:val="3E386294"/>
    <w:rsid w:val="3E394DF5"/>
    <w:rsid w:val="3E401B76"/>
    <w:rsid w:val="3E522CF1"/>
    <w:rsid w:val="3E5B6455"/>
    <w:rsid w:val="3E6A14E0"/>
    <w:rsid w:val="3E7A2248"/>
    <w:rsid w:val="3E7F160D"/>
    <w:rsid w:val="3E7F3E91"/>
    <w:rsid w:val="3E834C59"/>
    <w:rsid w:val="3E9C6AC7"/>
    <w:rsid w:val="3EB219E2"/>
    <w:rsid w:val="3EC7548D"/>
    <w:rsid w:val="3ECA14CD"/>
    <w:rsid w:val="3ECC2AA4"/>
    <w:rsid w:val="3EDC6D05"/>
    <w:rsid w:val="3EDF328B"/>
    <w:rsid w:val="3EE45785"/>
    <w:rsid w:val="3EF01478"/>
    <w:rsid w:val="3F010273"/>
    <w:rsid w:val="3F025D19"/>
    <w:rsid w:val="3F0F15A0"/>
    <w:rsid w:val="3F175A58"/>
    <w:rsid w:val="3F1B5F0C"/>
    <w:rsid w:val="3F2A6562"/>
    <w:rsid w:val="3F2C53D7"/>
    <w:rsid w:val="3F2E2014"/>
    <w:rsid w:val="3F310B59"/>
    <w:rsid w:val="3F3C5455"/>
    <w:rsid w:val="3F3F0701"/>
    <w:rsid w:val="3F400D9C"/>
    <w:rsid w:val="3F43263A"/>
    <w:rsid w:val="3F44347F"/>
    <w:rsid w:val="3F47600D"/>
    <w:rsid w:val="3F4A5777"/>
    <w:rsid w:val="3F5860E5"/>
    <w:rsid w:val="3F744EE9"/>
    <w:rsid w:val="3F7B0026"/>
    <w:rsid w:val="3F890995"/>
    <w:rsid w:val="3F8A0269"/>
    <w:rsid w:val="3F9966FE"/>
    <w:rsid w:val="3FA330D9"/>
    <w:rsid w:val="3FA94B93"/>
    <w:rsid w:val="3FB079AD"/>
    <w:rsid w:val="3FB10C6C"/>
    <w:rsid w:val="3FB6091C"/>
    <w:rsid w:val="3FB8042D"/>
    <w:rsid w:val="3FCF2120"/>
    <w:rsid w:val="3FD37E62"/>
    <w:rsid w:val="3FE77469"/>
    <w:rsid w:val="3FF1653A"/>
    <w:rsid w:val="3FFA0F4B"/>
    <w:rsid w:val="3FFD4C7F"/>
    <w:rsid w:val="3FFE50BE"/>
    <w:rsid w:val="4004001B"/>
    <w:rsid w:val="401044D8"/>
    <w:rsid w:val="40112738"/>
    <w:rsid w:val="40322C2A"/>
    <w:rsid w:val="40322DDA"/>
    <w:rsid w:val="40331AD1"/>
    <w:rsid w:val="403C77B5"/>
    <w:rsid w:val="40413F9B"/>
    <w:rsid w:val="404660E4"/>
    <w:rsid w:val="404C42EC"/>
    <w:rsid w:val="405014B2"/>
    <w:rsid w:val="405C558A"/>
    <w:rsid w:val="406B009A"/>
    <w:rsid w:val="40953369"/>
    <w:rsid w:val="40980F5A"/>
    <w:rsid w:val="409B285D"/>
    <w:rsid w:val="40A45DCB"/>
    <w:rsid w:val="40C31C84"/>
    <w:rsid w:val="40D07EFD"/>
    <w:rsid w:val="40E83499"/>
    <w:rsid w:val="40F76D9B"/>
    <w:rsid w:val="40F808A6"/>
    <w:rsid w:val="41026000"/>
    <w:rsid w:val="410909FB"/>
    <w:rsid w:val="410F6C78"/>
    <w:rsid w:val="411D22EE"/>
    <w:rsid w:val="41232504"/>
    <w:rsid w:val="413B181B"/>
    <w:rsid w:val="414F2AD7"/>
    <w:rsid w:val="41606DE8"/>
    <w:rsid w:val="41656898"/>
    <w:rsid w:val="41744D2D"/>
    <w:rsid w:val="41751B51"/>
    <w:rsid w:val="41757046"/>
    <w:rsid w:val="41847BE4"/>
    <w:rsid w:val="419453CF"/>
    <w:rsid w:val="419D0727"/>
    <w:rsid w:val="41A170DA"/>
    <w:rsid w:val="41A2189A"/>
    <w:rsid w:val="41A33431"/>
    <w:rsid w:val="41A60113"/>
    <w:rsid w:val="41A76EB0"/>
    <w:rsid w:val="41BD63D6"/>
    <w:rsid w:val="41C724C5"/>
    <w:rsid w:val="41C81330"/>
    <w:rsid w:val="41CD50C5"/>
    <w:rsid w:val="41D47FAF"/>
    <w:rsid w:val="41D708E3"/>
    <w:rsid w:val="41E55808"/>
    <w:rsid w:val="41EB51CB"/>
    <w:rsid w:val="41F8770C"/>
    <w:rsid w:val="41FA16D6"/>
    <w:rsid w:val="42070F19"/>
    <w:rsid w:val="421D3C7F"/>
    <w:rsid w:val="424A495F"/>
    <w:rsid w:val="426D6C42"/>
    <w:rsid w:val="42712609"/>
    <w:rsid w:val="4272343C"/>
    <w:rsid w:val="4278084D"/>
    <w:rsid w:val="427F607F"/>
    <w:rsid w:val="42894808"/>
    <w:rsid w:val="428A2184"/>
    <w:rsid w:val="428B4A24"/>
    <w:rsid w:val="42A31D6D"/>
    <w:rsid w:val="42AC7A3A"/>
    <w:rsid w:val="42B11788"/>
    <w:rsid w:val="42B87377"/>
    <w:rsid w:val="42BF46CD"/>
    <w:rsid w:val="42C17868"/>
    <w:rsid w:val="42C27D1A"/>
    <w:rsid w:val="42D119D4"/>
    <w:rsid w:val="42D27F5D"/>
    <w:rsid w:val="42E14802"/>
    <w:rsid w:val="42FA5706"/>
    <w:rsid w:val="42FC76D0"/>
    <w:rsid w:val="4301462D"/>
    <w:rsid w:val="430640AA"/>
    <w:rsid w:val="43087E22"/>
    <w:rsid w:val="430B346F"/>
    <w:rsid w:val="4312004C"/>
    <w:rsid w:val="43212240"/>
    <w:rsid w:val="433230F1"/>
    <w:rsid w:val="433A3D54"/>
    <w:rsid w:val="43426264"/>
    <w:rsid w:val="43433F2B"/>
    <w:rsid w:val="436808C1"/>
    <w:rsid w:val="436B6571"/>
    <w:rsid w:val="436C6603"/>
    <w:rsid w:val="437652FC"/>
    <w:rsid w:val="43805C0B"/>
    <w:rsid w:val="438C2802"/>
    <w:rsid w:val="43AF5C05"/>
    <w:rsid w:val="43B14016"/>
    <w:rsid w:val="43B81849"/>
    <w:rsid w:val="43C152E3"/>
    <w:rsid w:val="43D9531B"/>
    <w:rsid w:val="43E16C1C"/>
    <w:rsid w:val="43E75C8A"/>
    <w:rsid w:val="441A605F"/>
    <w:rsid w:val="441C4A00"/>
    <w:rsid w:val="44250560"/>
    <w:rsid w:val="4425082E"/>
    <w:rsid w:val="44380293"/>
    <w:rsid w:val="444335A1"/>
    <w:rsid w:val="44563119"/>
    <w:rsid w:val="445B0426"/>
    <w:rsid w:val="445C6678"/>
    <w:rsid w:val="44670B79"/>
    <w:rsid w:val="446B68BB"/>
    <w:rsid w:val="446F5D17"/>
    <w:rsid w:val="44727D5C"/>
    <w:rsid w:val="447626AF"/>
    <w:rsid w:val="44782D86"/>
    <w:rsid w:val="447E4C9B"/>
    <w:rsid w:val="448259B3"/>
    <w:rsid w:val="44837C0F"/>
    <w:rsid w:val="44910013"/>
    <w:rsid w:val="44A818BD"/>
    <w:rsid w:val="44C77869"/>
    <w:rsid w:val="44DC50C3"/>
    <w:rsid w:val="44DE20E4"/>
    <w:rsid w:val="44E977E0"/>
    <w:rsid w:val="44EC0A9D"/>
    <w:rsid w:val="44F35239"/>
    <w:rsid w:val="44FC50BA"/>
    <w:rsid w:val="451023FC"/>
    <w:rsid w:val="45120AE5"/>
    <w:rsid w:val="451A5BEB"/>
    <w:rsid w:val="452627E2"/>
    <w:rsid w:val="45297DC0"/>
    <w:rsid w:val="4532120B"/>
    <w:rsid w:val="453A003B"/>
    <w:rsid w:val="4545710C"/>
    <w:rsid w:val="455B4326"/>
    <w:rsid w:val="45605CF4"/>
    <w:rsid w:val="45612B75"/>
    <w:rsid w:val="456652D4"/>
    <w:rsid w:val="45813EBC"/>
    <w:rsid w:val="45821975"/>
    <w:rsid w:val="458505A5"/>
    <w:rsid w:val="458A3A0C"/>
    <w:rsid w:val="459C0CF6"/>
    <w:rsid w:val="459C1406"/>
    <w:rsid w:val="45A55DFD"/>
    <w:rsid w:val="45AF7005"/>
    <w:rsid w:val="45B44292"/>
    <w:rsid w:val="45B55914"/>
    <w:rsid w:val="45BC23D1"/>
    <w:rsid w:val="45BD5181"/>
    <w:rsid w:val="45C67E5B"/>
    <w:rsid w:val="45CC15DB"/>
    <w:rsid w:val="45DC10F2"/>
    <w:rsid w:val="45F621B4"/>
    <w:rsid w:val="45FB5A1D"/>
    <w:rsid w:val="46072613"/>
    <w:rsid w:val="460D7F65"/>
    <w:rsid w:val="460F14C8"/>
    <w:rsid w:val="462907DC"/>
    <w:rsid w:val="46306FAC"/>
    <w:rsid w:val="46317690"/>
    <w:rsid w:val="46382A9F"/>
    <w:rsid w:val="465F5FAB"/>
    <w:rsid w:val="46601D24"/>
    <w:rsid w:val="46627EDC"/>
    <w:rsid w:val="466C2476"/>
    <w:rsid w:val="466C2C79"/>
    <w:rsid w:val="46717A8D"/>
    <w:rsid w:val="4678706D"/>
    <w:rsid w:val="46792F9C"/>
    <w:rsid w:val="468477C0"/>
    <w:rsid w:val="4689127A"/>
    <w:rsid w:val="46911EDD"/>
    <w:rsid w:val="469667F9"/>
    <w:rsid w:val="46966F93"/>
    <w:rsid w:val="469F5184"/>
    <w:rsid w:val="46A04C95"/>
    <w:rsid w:val="46A32C5C"/>
    <w:rsid w:val="46A55988"/>
    <w:rsid w:val="46A936CA"/>
    <w:rsid w:val="46AB6885"/>
    <w:rsid w:val="46AE6F33"/>
    <w:rsid w:val="46B43C28"/>
    <w:rsid w:val="46BA4C51"/>
    <w:rsid w:val="46C424F5"/>
    <w:rsid w:val="46D30747"/>
    <w:rsid w:val="46DF533E"/>
    <w:rsid w:val="46F661E4"/>
    <w:rsid w:val="47076D29"/>
    <w:rsid w:val="470923BB"/>
    <w:rsid w:val="471F5755"/>
    <w:rsid w:val="472745EF"/>
    <w:rsid w:val="473D3E13"/>
    <w:rsid w:val="47503B46"/>
    <w:rsid w:val="47653A95"/>
    <w:rsid w:val="47681002"/>
    <w:rsid w:val="477737C9"/>
    <w:rsid w:val="477E6905"/>
    <w:rsid w:val="478163EE"/>
    <w:rsid w:val="478A52AA"/>
    <w:rsid w:val="478F2AC1"/>
    <w:rsid w:val="478F50F9"/>
    <w:rsid w:val="47932D52"/>
    <w:rsid w:val="47A520E4"/>
    <w:rsid w:val="47A65E5C"/>
    <w:rsid w:val="47A72AF3"/>
    <w:rsid w:val="47A834ED"/>
    <w:rsid w:val="47AD69B3"/>
    <w:rsid w:val="47B55E33"/>
    <w:rsid w:val="47B679CB"/>
    <w:rsid w:val="47C00CCC"/>
    <w:rsid w:val="47C36A0E"/>
    <w:rsid w:val="47DB5B06"/>
    <w:rsid w:val="47ED5839"/>
    <w:rsid w:val="480037BE"/>
    <w:rsid w:val="48052B82"/>
    <w:rsid w:val="480768FB"/>
    <w:rsid w:val="480A798E"/>
    <w:rsid w:val="48200388"/>
    <w:rsid w:val="48325752"/>
    <w:rsid w:val="48376AB4"/>
    <w:rsid w:val="484A0EFF"/>
    <w:rsid w:val="484F3DFE"/>
    <w:rsid w:val="485D29BF"/>
    <w:rsid w:val="48600E1F"/>
    <w:rsid w:val="486024AF"/>
    <w:rsid w:val="486C081C"/>
    <w:rsid w:val="486E697A"/>
    <w:rsid w:val="48737288"/>
    <w:rsid w:val="48791239"/>
    <w:rsid w:val="488066AD"/>
    <w:rsid w:val="48893141"/>
    <w:rsid w:val="488F68F0"/>
    <w:rsid w:val="48A859DC"/>
    <w:rsid w:val="48AD0EC0"/>
    <w:rsid w:val="48B30830"/>
    <w:rsid w:val="48BB1493"/>
    <w:rsid w:val="48BD520B"/>
    <w:rsid w:val="48BF5E9C"/>
    <w:rsid w:val="48BF71D5"/>
    <w:rsid w:val="48C20A74"/>
    <w:rsid w:val="48CD4952"/>
    <w:rsid w:val="48D873DA"/>
    <w:rsid w:val="48E6263C"/>
    <w:rsid w:val="48EF5D3C"/>
    <w:rsid w:val="48F73C13"/>
    <w:rsid w:val="48F91741"/>
    <w:rsid w:val="48FB417C"/>
    <w:rsid w:val="4904108C"/>
    <w:rsid w:val="490B1629"/>
    <w:rsid w:val="49153299"/>
    <w:rsid w:val="49290AF3"/>
    <w:rsid w:val="49301E81"/>
    <w:rsid w:val="493C0826"/>
    <w:rsid w:val="493C56DB"/>
    <w:rsid w:val="49411CFD"/>
    <w:rsid w:val="4941408E"/>
    <w:rsid w:val="49420E43"/>
    <w:rsid w:val="49463639"/>
    <w:rsid w:val="49515531"/>
    <w:rsid w:val="49520049"/>
    <w:rsid w:val="495913D8"/>
    <w:rsid w:val="495C67D2"/>
    <w:rsid w:val="49647484"/>
    <w:rsid w:val="49706721"/>
    <w:rsid w:val="497B7864"/>
    <w:rsid w:val="49880361"/>
    <w:rsid w:val="498D1B3D"/>
    <w:rsid w:val="49951CE4"/>
    <w:rsid w:val="49A91C62"/>
    <w:rsid w:val="49B617FE"/>
    <w:rsid w:val="49BB5BEF"/>
    <w:rsid w:val="49BD71F0"/>
    <w:rsid w:val="49C24C5D"/>
    <w:rsid w:val="49CF169A"/>
    <w:rsid w:val="49D15412"/>
    <w:rsid w:val="49D9498F"/>
    <w:rsid w:val="49EA64D4"/>
    <w:rsid w:val="49EB4592"/>
    <w:rsid w:val="49EB7B56"/>
    <w:rsid w:val="4A007AA5"/>
    <w:rsid w:val="4A0761FF"/>
    <w:rsid w:val="4A0B3024"/>
    <w:rsid w:val="4A1C2EC0"/>
    <w:rsid w:val="4A253068"/>
    <w:rsid w:val="4A301A0D"/>
    <w:rsid w:val="4A313BB2"/>
    <w:rsid w:val="4A421E6C"/>
    <w:rsid w:val="4A45370A"/>
    <w:rsid w:val="4A494271"/>
    <w:rsid w:val="4A52592B"/>
    <w:rsid w:val="4A525E27"/>
    <w:rsid w:val="4A5E47CC"/>
    <w:rsid w:val="4A6C7E73"/>
    <w:rsid w:val="4A6D4A0F"/>
    <w:rsid w:val="4A742241"/>
    <w:rsid w:val="4A7B35D0"/>
    <w:rsid w:val="4A871A4A"/>
    <w:rsid w:val="4A8A55C1"/>
    <w:rsid w:val="4A8E50D8"/>
    <w:rsid w:val="4A8F4985"/>
    <w:rsid w:val="4A9D5DE7"/>
    <w:rsid w:val="4AA76173"/>
    <w:rsid w:val="4AA77F21"/>
    <w:rsid w:val="4AA91EEB"/>
    <w:rsid w:val="4AB32D6A"/>
    <w:rsid w:val="4ACF0B51"/>
    <w:rsid w:val="4AD247A3"/>
    <w:rsid w:val="4AD351BA"/>
    <w:rsid w:val="4AD74D96"/>
    <w:rsid w:val="4AE50A49"/>
    <w:rsid w:val="4AF26936"/>
    <w:rsid w:val="4AF64A04"/>
    <w:rsid w:val="4AFA3514"/>
    <w:rsid w:val="4B0578AD"/>
    <w:rsid w:val="4B0E7FA0"/>
    <w:rsid w:val="4B1728BA"/>
    <w:rsid w:val="4B196FAC"/>
    <w:rsid w:val="4B1D01E3"/>
    <w:rsid w:val="4B2C7A5A"/>
    <w:rsid w:val="4B3612A5"/>
    <w:rsid w:val="4B413ED2"/>
    <w:rsid w:val="4B4154BA"/>
    <w:rsid w:val="4B49547C"/>
    <w:rsid w:val="4B4E2A92"/>
    <w:rsid w:val="4B532637"/>
    <w:rsid w:val="4B6202EC"/>
    <w:rsid w:val="4B677993"/>
    <w:rsid w:val="4B7122DD"/>
    <w:rsid w:val="4B814C16"/>
    <w:rsid w:val="4B83243B"/>
    <w:rsid w:val="4B8A4D97"/>
    <w:rsid w:val="4B8F7333"/>
    <w:rsid w:val="4B9304A5"/>
    <w:rsid w:val="4B9506C1"/>
    <w:rsid w:val="4BA10E14"/>
    <w:rsid w:val="4BBB7306"/>
    <w:rsid w:val="4BBD5522"/>
    <w:rsid w:val="4BCC6435"/>
    <w:rsid w:val="4BCD39B7"/>
    <w:rsid w:val="4BD3391A"/>
    <w:rsid w:val="4BDB3974"/>
    <w:rsid w:val="4BDC3BFA"/>
    <w:rsid w:val="4BE200B2"/>
    <w:rsid w:val="4BE744E4"/>
    <w:rsid w:val="4BE96317"/>
    <w:rsid w:val="4BEB5150"/>
    <w:rsid w:val="4BEF6864"/>
    <w:rsid w:val="4BF929FE"/>
    <w:rsid w:val="4C0A0767"/>
    <w:rsid w:val="4C12586E"/>
    <w:rsid w:val="4C1E442E"/>
    <w:rsid w:val="4C212F83"/>
    <w:rsid w:val="4C371778"/>
    <w:rsid w:val="4C37323B"/>
    <w:rsid w:val="4C3E2AF8"/>
    <w:rsid w:val="4C3E3632"/>
    <w:rsid w:val="4C527DBA"/>
    <w:rsid w:val="4C5F07E2"/>
    <w:rsid w:val="4C6065D9"/>
    <w:rsid w:val="4C6A4C70"/>
    <w:rsid w:val="4C7D3291"/>
    <w:rsid w:val="4C8C2F4B"/>
    <w:rsid w:val="4C975D73"/>
    <w:rsid w:val="4C9B5EBF"/>
    <w:rsid w:val="4CAF3234"/>
    <w:rsid w:val="4CAF4949"/>
    <w:rsid w:val="4CB12664"/>
    <w:rsid w:val="4CB220BE"/>
    <w:rsid w:val="4CB335F4"/>
    <w:rsid w:val="4CB53B3B"/>
    <w:rsid w:val="4CB701C3"/>
    <w:rsid w:val="4CBB198D"/>
    <w:rsid w:val="4CC91FAF"/>
    <w:rsid w:val="4CCC3C6F"/>
    <w:rsid w:val="4CD3324F"/>
    <w:rsid w:val="4CE24CF5"/>
    <w:rsid w:val="4CE27936"/>
    <w:rsid w:val="4CE40BE6"/>
    <w:rsid w:val="4CEE1C78"/>
    <w:rsid w:val="4CF60CEC"/>
    <w:rsid w:val="4D025585"/>
    <w:rsid w:val="4D027691"/>
    <w:rsid w:val="4D0553D3"/>
    <w:rsid w:val="4D071B6D"/>
    <w:rsid w:val="4D13189E"/>
    <w:rsid w:val="4D18191E"/>
    <w:rsid w:val="4D185106"/>
    <w:rsid w:val="4D267823"/>
    <w:rsid w:val="4D2C6E03"/>
    <w:rsid w:val="4D415416"/>
    <w:rsid w:val="4D491763"/>
    <w:rsid w:val="4D4A6024"/>
    <w:rsid w:val="4D522B59"/>
    <w:rsid w:val="4D5327CE"/>
    <w:rsid w:val="4D553C64"/>
    <w:rsid w:val="4D782049"/>
    <w:rsid w:val="4D7A36CB"/>
    <w:rsid w:val="4D7A3AA9"/>
    <w:rsid w:val="4D7D31BB"/>
    <w:rsid w:val="4D7F0CE1"/>
    <w:rsid w:val="4D840AE7"/>
    <w:rsid w:val="4D84574A"/>
    <w:rsid w:val="4D875DE8"/>
    <w:rsid w:val="4D981DA3"/>
    <w:rsid w:val="4D9C7AE5"/>
    <w:rsid w:val="4DBA7F6B"/>
    <w:rsid w:val="4DBC0187"/>
    <w:rsid w:val="4DBE1F23"/>
    <w:rsid w:val="4DC87875"/>
    <w:rsid w:val="4DD706DB"/>
    <w:rsid w:val="4DEF230B"/>
    <w:rsid w:val="4DF72F6D"/>
    <w:rsid w:val="4DFE755A"/>
    <w:rsid w:val="4E035DB6"/>
    <w:rsid w:val="4E037940"/>
    <w:rsid w:val="4E047438"/>
    <w:rsid w:val="4E0522C3"/>
    <w:rsid w:val="4E061402"/>
    <w:rsid w:val="4E121796"/>
    <w:rsid w:val="4E143B1F"/>
    <w:rsid w:val="4E1753BE"/>
    <w:rsid w:val="4E1A4EAE"/>
    <w:rsid w:val="4E1A6C5C"/>
    <w:rsid w:val="4E1B2E11"/>
    <w:rsid w:val="4E1B3100"/>
    <w:rsid w:val="4E1C6E78"/>
    <w:rsid w:val="4E1E674C"/>
    <w:rsid w:val="4E314E82"/>
    <w:rsid w:val="4E361CE8"/>
    <w:rsid w:val="4E3715BC"/>
    <w:rsid w:val="4E4F6AEA"/>
    <w:rsid w:val="4E6A373F"/>
    <w:rsid w:val="4E6C677C"/>
    <w:rsid w:val="4E6F0D56"/>
    <w:rsid w:val="4E7740AE"/>
    <w:rsid w:val="4E791BD4"/>
    <w:rsid w:val="4E7D7565"/>
    <w:rsid w:val="4E832A53"/>
    <w:rsid w:val="4E854A1D"/>
    <w:rsid w:val="4E8D1811"/>
    <w:rsid w:val="4E916F1E"/>
    <w:rsid w:val="4E976C62"/>
    <w:rsid w:val="4EA56E6D"/>
    <w:rsid w:val="4EA84268"/>
    <w:rsid w:val="4EAB3DF3"/>
    <w:rsid w:val="4EB86BA1"/>
    <w:rsid w:val="4EDC7CC9"/>
    <w:rsid w:val="4EDD03B5"/>
    <w:rsid w:val="4EDE78CC"/>
    <w:rsid w:val="4EE72FE2"/>
    <w:rsid w:val="4EEC684A"/>
    <w:rsid w:val="4EF17B3E"/>
    <w:rsid w:val="4F0040A4"/>
    <w:rsid w:val="4F073684"/>
    <w:rsid w:val="4F0C47F7"/>
    <w:rsid w:val="4F133DD7"/>
    <w:rsid w:val="4F22401A"/>
    <w:rsid w:val="4F2A7373"/>
    <w:rsid w:val="4F2E7890"/>
    <w:rsid w:val="4F3976BC"/>
    <w:rsid w:val="4F3F6648"/>
    <w:rsid w:val="4F42290E"/>
    <w:rsid w:val="4F4246BC"/>
    <w:rsid w:val="4F425DDD"/>
    <w:rsid w:val="4F45049F"/>
    <w:rsid w:val="4F4917BA"/>
    <w:rsid w:val="4F54452F"/>
    <w:rsid w:val="4F680C31"/>
    <w:rsid w:val="4F73741B"/>
    <w:rsid w:val="4F7D74A2"/>
    <w:rsid w:val="4FA90297"/>
    <w:rsid w:val="4FB9254E"/>
    <w:rsid w:val="4FC450D1"/>
    <w:rsid w:val="4FC75412"/>
    <w:rsid w:val="4FC77616"/>
    <w:rsid w:val="4FCC6EAF"/>
    <w:rsid w:val="4FCD667C"/>
    <w:rsid w:val="4FD23C92"/>
    <w:rsid w:val="4FD95020"/>
    <w:rsid w:val="4FDC68BF"/>
    <w:rsid w:val="4FE17A31"/>
    <w:rsid w:val="4FED6DF9"/>
    <w:rsid w:val="4FF63BB4"/>
    <w:rsid w:val="500876B4"/>
    <w:rsid w:val="50110AFB"/>
    <w:rsid w:val="502F6AAF"/>
    <w:rsid w:val="50414974"/>
    <w:rsid w:val="50536B47"/>
    <w:rsid w:val="50610B72"/>
    <w:rsid w:val="50632B3C"/>
    <w:rsid w:val="50707007"/>
    <w:rsid w:val="50760AC1"/>
    <w:rsid w:val="50847DC7"/>
    <w:rsid w:val="509B0528"/>
    <w:rsid w:val="50BC224C"/>
    <w:rsid w:val="50C51101"/>
    <w:rsid w:val="50CA60D9"/>
    <w:rsid w:val="50D36E1A"/>
    <w:rsid w:val="50DB26D2"/>
    <w:rsid w:val="50E71AE5"/>
    <w:rsid w:val="50EA261E"/>
    <w:rsid w:val="50FC089B"/>
    <w:rsid w:val="5108044E"/>
    <w:rsid w:val="510C31D4"/>
    <w:rsid w:val="51165E00"/>
    <w:rsid w:val="511E6A63"/>
    <w:rsid w:val="5124051D"/>
    <w:rsid w:val="51312C3A"/>
    <w:rsid w:val="51354AB9"/>
    <w:rsid w:val="5144296E"/>
    <w:rsid w:val="514F6A03"/>
    <w:rsid w:val="51595CED"/>
    <w:rsid w:val="5167665C"/>
    <w:rsid w:val="517069D7"/>
    <w:rsid w:val="517652F0"/>
    <w:rsid w:val="5179653C"/>
    <w:rsid w:val="517B5C63"/>
    <w:rsid w:val="517D5E7F"/>
    <w:rsid w:val="51840FBC"/>
    <w:rsid w:val="518E5B19"/>
    <w:rsid w:val="51970E73"/>
    <w:rsid w:val="519C4558"/>
    <w:rsid w:val="519D3E2C"/>
    <w:rsid w:val="519F6632"/>
    <w:rsid w:val="51A74CAA"/>
    <w:rsid w:val="51B11685"/>
    <w:rsid w:val="51B178D7"/>
    <w:rsid w:val="51BF1456"/>
    <w:rsid w:val="51C4760A"/>
    <w:rsid w:val="51C92E73"/>
    <w:rsid w:val="51D478DF"/>
    <w:rsid w:val="51D830B6"/>
    <w:rsid w:val="51DD06CC"/>
    <w:rsid w:val="51E97071"/>
    <w:rsid w:val="51F021AD"/>
    <w:rsid w:val="51F96C3B"/>
    <w:rsid w:val="52000723"/>
    <w:rsid w:val="52081BED"/>
    <w:rsid w:val="520B5239"/>
    <w:rsid w:val="52187956"/>
    <w:rsid w:val="52195BA8"/>
    <w:rsid w:val="521C0775"/>
    <w:rsid w:val="521E4F39"/>
    <w:rsid w:val="525647CE"/>
    <w:rsid w:val="525F10E1"/>
    <w:rsid w:val="526A01B2"/>
    <w:rsid w:val="527B4984"/>
    <w:rsid w:val="528261F1"/>
    <w:rsid w:val="52943481"/>
    <w:rsid w:val="529E24D9"/>
    <w:rsid w:val="52A5743C"/>
    <w:rsid w:val="52AF2850"/>
    <w:rsid w:val="52AF2E63"/>
    <w:rsid w:val="52B21C66"/>
    <w:rsid w:val="52B61649"/>
    <w:rsid w:val="52D65847"/>
    <w:rsid w:val="52E341B1"/>
    <w:rsid w:val="5302488E"/>
    <w:rsid w:val="53051E7D"/>
    <w:rsid w:val="53065A01"/>
    <w:rsid w:val="531A5978"/>
    <w:rsid w:val="53280B3B"/>
    <w:rsid w:val="53281E1B"/>
    <w:rsid w:val="532A16EF"/>
    <w:rsid w:val="532C3D4E"/>
    <w:rsid w:val="532E5683"/>
    <w:rsid w:val="53394028"/>
    <w:rsid w:val="53410F7E"/>
    <w:rsid w:val="53530C46"/>
    <w:rsid w:val="53722FC9"/>
    <w:rsid w:val="53767F45"/>
    <w:rsid w:val="537961D3"/>
    <w:rsid w:val="537C15C3"/>
    <w:rsid w:val="53811BC0"/>
    <w:rsid w:val="53827989"/>
    <w:rsid w:val="53837051"/>
    <w:rsid w:val="5384752F"/>
    <w:rsid w:val="53937294"/>
    <w:rsid w:val="539B4BE0"/>
    <w:rsid w:val="539E4672"/>
    <w:rsid w:val="53C2401E"/>
    <w:rsid w:val="53D4255B"/>
    <w:rsid w:val="53E45D42"/>
    <w:rsid w:val="53F1220D"/>
    <w:rsid w:val="53F30D5E"/>
    <w:rsid w:val="53FA58FF"/>
    <w:rsid w:val="540077F5"/>
    <w:rsid w:val="54071A30"/>
    <w:rsid w:val="540A6DA5"/>
    <w:rsid w:val="54106B37"/>
    <w:rsid w:val="54134879"/>
    <w:rsid w:val="54232D0E"/>
    <w:rsid w:val="54244526"/>
    <w:rsid w:val="542720D3"/>
    <w:rsid w:val="543C5B7E"/>
    <w:rsid w:val="543F741C"/>
    <w:rsid w:val="544467E1"/>
    <w:rsid w:val="5466257C"/>
    <w:rsid w:val="54662BFB"/>
    <w:rsid w:val="5470465A"/>
    <w:rsid w:val="54752A31"/>
    <w:rsid w:val="547A7151"/>
    <w:rsid w:val="548A4B3B"/>
    <w:rsid w:val="5498294F"/>
    <w:rsid w:val="549F610D"/>
    <w:rsid w:val="54A379AB"/>
    <w:rsid w:val="54A40068"/>
    <w:rsid w:val="54AA3506"/>
    <w:rsid w:val="54B0031A"/>
    <w:rsid w:val="54B8593E"/>
    <w:rsid w:val="54BF40B9"/>
    <w:rsid w:val="54C87412"/>
    <w:rsid w:val="54D67D81"/>
    <w:rsid w:val="54EB4EAE"/>
    <w:rsid w:val="54F77CF7"/>
    <w:rsid w:val="54FC355F"/>
    <w:rsid w:val="550F3292"/>
    <w:rsid w:val="55142657"/>
    <w:rsid w:val="55217BFA"/>
    <w:rsid w:val="552A59D6"/>
    <w:rsid w:val="55450D4D"/>
    <w:rsid w:val="555534F8"/>
    <w:rsid w:val="555A00F0"/>
    <w:rsid w:val="55630EE8"/>
    <w:rsid w:val="55652EB2"/>
    <w:rsid w:val="55654C60"/>
    <w:rsid w:val="556709D9"/>
    <w:rsid w:val="556829A3"/>
    <w:rsid w:val="55821CB6"/>
    <w:rsid w:val="558275C0"/>
    <w:rsid w:val="558E2409"/>
    <w:rsid w:val="55957764"/>
    <w:rsid w:val="55985036"/>
    <w:rsid w:val="5598523A"/>
    <w:rsid w:val="55A41C2D"/>
    <w:rsid w:val="55AC6D33"/>
    <w:rsid w:val="55B33C1E"/>
    <w:rsid w:val="55C336FF"/>
    <w:rsid w:val="55CC2F32"/>
    <w:rsid w:val="55D43B94"/>
    <w:rsid w:val="55DB4F23"/>
    <w:rsid w:val="55DD513F"/>
    <w:rsid w:val="55EE11AC"/>
    <w:rsid w:val="55FA184D"/>
    <w:rsid w:val="5604566B"/>
    <w:rsid w:val="560B28A1"/>
    <w:rsid w:val="5612303A"/>
    <w:rsid w:val="561856BF"/>
    <w:rsid w:val="561B7A15"/>
    <w:rsid w:val="561D553B"/>
    <w:rsid w:val="56220DA3"/>
    <w:rsid w:val="56486A5C"/>
    <w:rsid w:val="56521689"/>
    <w:rsid w:val="56530F5D"/>
    <w:rsid w:val="56551179"/>
    <w:rsid w:val="5677049F"/>
    <w:rsid w:val="56895348"/>
    <w:rsid w:val="568C3E99"/>
    <w:rsid w:val="569E48CE"/>
    <w:rsid w:val="56A143BE"/>
    <w:rsid w:val="56AE4EB5"/>
    <w:rsid w:val="56AF6ADB"/>
    <w:rsid w:val="56D60F8B"/>
    <w:rsid w:val="56D9439F"/>
    <w:rsid w:val="56DA5827"/>
    <w:rsid w:val="56E30533"/>
    <w:rsid w:val="56ED13B1"/>
    <w:rsid w:val="56F91B04"/>
    <w:rsid w:val="56FA705E"/>
    <w:rsid w:val="570010E5"/>
    <w:rsid w:val="57030BD5"/>
    <w:rsid w:val="57097973"/>
    <w:rsid w:val="571221B6"/>
    <w:rsid w:val="57144B90"/>
    <w:rsid w:val="571B7CCD"/>
    <w:rsid w:val="57327710"/>
    <w:rsid w:val="57391D34"/>
    <w:rsid w:val="573B4004"/>
    <w:rsid w:val="574B68E6"/>
    <w:rsid w:val="574C1D94"/>
    <w:rsid w:val="57517B92"/>
    <w:rsid w:val="575B0744"/>
    <w:rsid w:val="575E5102"/>
    <w:rsid w:val="57633422"/>
    <w:rsid w:val="57650F48"/>
    <w:rsid w:val="57672F12"/>
    <w:rsid w:val="57680A38"/>
    <w:rsid w:val="576D604E"/>
    <w:rsid w:val="57767099"/>
    <w:rsid w:val="578A1ED7"/>
    <w:rsid w:val="5794182D"/>
    <w:rsid w:val="5798756F"/>
    <w:rsid w:val="57993E68"/>
    <w:rsid w:val="57A23F4A"/>
    <w:rsid w:val="57A67CD8"/>
    <w:rsid w:val="57AC4DC9"/>
    <w:rsid w:val="57B65C47"/>
    <w:rsid w:val="57C574C6"/>
    <w:rsid w:val="57CF6D09"/>
    <w:rsid w:val="57D50E26"/>
    <w:rsid w:val="57DC6EEA"/>
    <w:rsid w:val="57E5652D"/>
    <w:rsid w:val="57E722A5"/>
    <w:rsid w:val="57E97DCB"/>
    <w:rsid w:val="58092458"/>
    <w:rsid w:val="58177FD0"/>
    <w:rsid w:val="582A4FD5"/>
    <w:rsid w:val="58335574"/>
    <w:rsid w:val="58421289"/>
    <w:rsid w:val="5851771E"/>
    <w:rsid w:val="58593060"/>
    <w:rsid w:val="585A2A77"/>
    <w:rsid w:val="588C1300"/>
    <w:rsid w:val="588D4BFA"/>
    <w:rsid w:val="588E2720"/>
    <w:rsid w:val="589F433E"/>
    <w:rsid w:val="58A27F7A"/>
    <w:rsid w:val="58AD0DF8"/>
    <w:rsid w:val="58AD704A"/>
    <w:rsid w:val="58B71C77"/>
    <w:rsid w:val="58B8480D"/>
    <w:rsid w:val="58B913A9"/>
    <w:rsid w:val="58C2777A"/>
    <w:rsid w:val="58CB74D0"/>
    <w:rsid w:val="58CD3ED2"/>
    <w:rsid w:val="58D26AB1"/>
    <w:rsid w:val="58DB4550"/>
    <w:rsid w:val="58E10AA2"/>
    <w:rsid w:val="58F1757A"/>
    <w:rsid w:val="58F76517"/>
    <w:rsid w:val="58FC1BC0"/>
    <w:rsid w:val="58FD3402"/>
    <w:rsid w:val="5900361E"/>
    <w:rsid w:val="590D7AE9"/>
    <w:rsid w:val="591801D8"/>
    <w:rsid w:val="591848B7"/>
    <w:rsid w:val="591E5852"/>
    <w:rsid w:val="593037D7"/>
    <w:rsid w:val="59343A85"/>
    <w:rsid w:val="59405D3E"/>
    <w:rsid w:val="594D25DB"/>
    <w:rsid w:val="595474C6"/>
    <w:rsid w:val="5958707F"/>
    <w:rsid w:val="596D0588"/>
    <w:rsid w:val="597D7BE8"/>
    <w:rsid w:val="59A0095D"/>
    <w:rsid w:val="59B12B9A"/>
    <w:rsid w:val="59B60181"/>
    <w:rsid w:val="59B75271"/>
    <w:rsid w:val="59BD32BD"/>
    <w:rsid w:val="59CA6505"/>
    <w:rsid w:val="59D625D1"/>
    <w:rsid w:val="59D7375C"/>
    <w:rsid w:val="59DB3743"/>
    <w:rsid w:val="59FD4B5C"/>
    <w:rsid w:val="5A0233C6"/>
    <w:rsid w:val="5A07095A"/>
    <w:rsid w:val="5A105AE3"/>
    <w:rsid w:val="5A157BA3"/>
    <w:rsid w:val="5A1C7F24"/>
    <w:rsid w:val="5A24655C"/>
    <w:rsid w:val="5A24763D"/>
    <w:rsid w:val="5A25115D"/>
    <w:rsid w:val="5A2C79B8"/>
    <w:rsid w:val="5A32437D"/>
    <w:rsid w:val="5A4A60E9"/>
    <w:rsid w:val="5A4F5EDF"/>
    <w:rsid w:val="5A5925F5"/>
    <w:rsid w:val="5A5A2FCC"/>
    <w:rsid w:val="5A5B4884"/>
    <w:rsid w:val="5A5D2AFD"/>
    <w:rsid w:val="5A626A8D"/>
    <w:rsid w:val="5A6C4CE3"/>
    <w:rsid w:val="5A703F65"/>
    <w:rsid w:val="5A715E56"/>
    <w:rsid w:val="5A736072"/>
    <w:rsid w:val="5A81078E"/>
    <w:rsid w:val="5A821E11"/>
    <w:rsid w:val="5A927142"/>
    <w:rsid w:val="5A95795B"/>
    <w:rsid w:val="5A9D30EE"/>
    <w:rsid w:val="5AB521E6"/>
    <w:rsid w:val="5ABB5323"/>
    <w:rsid w:val="5ABC3575"/>
    <w:rsid w:val="5AC97A40"/>
    <w:rsid w:val="5AD36B10"/>
    <w:rsid w:val="5ADF1011"/>
    <w:rsid w:val="5ADF3CFD"/>
    <w:rsid w:val="5AE6687E"/>
    <w:rsid w:val="5AEA284D"/>
    <w:rsid w:val="5AEB07F8"/>
    <w:rsid w:val="5AED7BD2"/>
    <w:rsid w:val="5B0171D9"/>
    <w:rsid w:val="5B0942E0"/>
    <w:rsid w:val="5B0E5560"/>
    <w:rsid w:val="5B12588A"/>
    <w:rsid w:val="5B13515F"/>
    <w:rsid w:val="5B155FF5"/>
    <w:rsid w:val="5B172EA1"/>
    <w:rsid w:val="5B284D5C"/>
    <w:rsid w:val="5B2E578D"/>
    <w:rsid w:val="5B375064"/>
    <w:rsid w:val="5B4A6DC5"/>
    <w:rsid w:val="5B5C08B4"/>
    <w:rsid w:val="5B5C4D58"/>
    <w:rsid w:val="5B5F7073"/>
    <w:rsid w:val="5B664392"/>
    <w:rsid w:val="5B6D029D"/>
    <w:rsid w:val="5B765E19"/>
    <w:rsid w:val="5B7C71A8"/>
    <w:rsid w:val="5B885B4D"/>
    <w:rsid w:val="5B8D3163"/>
    <w:rsid w:val="5B962018"/>
    <w:rsid w:val="5B977B3E"/>
    <w:rsid w:val="5BA23571"/>
    <w:rsid w:val="5BAB2FDC"/>
    <w:rsid w:val="5BAB5397"/>
    <w:rsid w:val="5BAD110F"/>
    <w:rsid w:val="5BBB382C"/>
    <w:rsid w:val="5BBC75A4"/>
    <w:rsid w:val="5BBD75FE"/>
    <w:rsid w:val="5BBE71ED"/>
    <w:rsid w:val="5BCD20F1"/>
    <w:rsid w:val="5BD33C24"/>
    <w:rsid w:val="5BE0565B"/>
    <w:rsid w:val="5BE663CF"/>
    <w:rsid w:val="5BED59B0"/>
    <w:rsid w:val="5BF800CF"/>
    <w:rsid w:val="5BFB3394"/>
    <w:rsid w:val="5C05719D"/>
    <w:rsid w:val="5C0C052C"/>
    <w:rsid w:val="5C0F331F"/>
    <w:rsid w:val="5C115B42"/>
    <w:rsid w:val="5C1318BA"/>
    <w:rsid w:val="5C180A77"/>
    <w:rsid w:val="5C1E7DFE"/>
    <w:rsid w:val="5C205D85"/>
    <w:rsid w:val="5C254CA2"/>
    <w:rsid w:val="5C291C91"/>
    <w:rsid w:val="5C3842C4"/>
    <w:rsid w:val="5C3846F3"/>
    <w:rsid w:val="5C3A55AA"/>
    <w:rsid w:val="5C3B64A8"/>
    <w:rsid w:val="5C403D31"/>
    <w:rsid w:val="5C412899"/>
    <w:rsid w:val="5C441A74"/>
    <w:rsid w:val="5C5F7BBD"/>
    <w:rsid w:val="5C6E089F"/>
    <w:rsid w:val="5C71038F"/>
    <w:rsid w:val="5C8207EE"/>
    <w:rsid w:val="5C844566"/>
    <w:rsid w:val="5C855BE8"/>
    <w:rsid w:val="5C8956D8"/>
    <w:rsid w:val="5C8A1451"/>
    <w:rsid w:val="5C904CB9"/>
    <w:rsid w:val="5C967DF5"/>
    <w:rsid w:val="5C997BED"/>
    <w:rsid w:val="5C9E400F"/>
    <w:rsid w:val="5C9F4EFC"/>
    <w:rsid w:val="5CB07109"/>
    <w:rsid w:val="5CB70498"/>
    <w:rsid w:val="5CC46711"/>
    <w:rsid w:val="5CC84698"/>
    <w:rsid w:val="5CD526CC"/>
    <w:rsid w:val="5CDA4186"/>
    <w:rsid w:val="5CE739C0"/>
    <w:rsid w:val="5CEB1EEF"/>
    <w:rsid w:val="5CF74D38"/>
    <w:rsid w:val="5CFA06D7"/>
    <w:rsid w:val="5CFA4828"/>
    <w:rsid w:val="5CFC234E"/>
    <w:rsid w:val="5CFC3930"/>
    <w:rsid w:val="5CFD4FF4"/>
    <w:rsid w:val="5D015BB7"/>
    <w:rsid w:val="5D046E3C"/>
    <w:rsid w:val="5D0E2082"/>
    <w:rsid w:val="5D19346E"/>
    <w:rsid w:val="5D1A27D4"/>
    <w:rsid w:val="5D1C479E"/>
    <w:rsid w:val="5D245401"/>
    <w:rsid w:val="5D276C9F"/>
    <w:rsid w:val="5D3513BC"/>
    <w:rsid w:val="5D395350"/>
    <w:rsid w:val="5D3E7E7C"/>
    <w:rsid w:val="5D3F66DF"/>
    <w:rsid w:val="5D4004D8"/>
    <w:rsid w:val="5D4A130C"/>
    <w:rsid w:val="5D4B6E32"/>
    <w:rsid w:val="5D543F38"/>
    <w:rsid w:val="5D5A52C7"/>
    <w:rsid w:val="5D5B7195"/>
    <w:rsid w:val="5D5C4B9B"/>
    <w:rsid w:val="5D605541"/>
    <w:rsid w:val="5D6541DD"/>
    <w:rsid w:val="5D775E79"/>
    <w:rsid w:val="5D804D2D"/>
    <w:rsid w:val="5D8916BE"/>
    <w:rsid w:val="5D894520"/>
    <w:rsid w:val="5D8B5BD5"/>
    <w:rsid w:val="5D8D4624"/>
    <w:rsid w:val="5D92680F"/>
    <w:rsid w:val="5D9A3915"/>
    <w:rsid w:val="5DA87DE0"/>
    <w:rsid w:val="5DBE13B2"/>
    <w:rsid w:val="5DC310BE"/>
    <w:rsid w:val="5DC52F62"/>
    <w:rsid w:val="5DCF35BF"/>
    <w:rsid w:val="5DE0757A"/>
    <w:rsid w:val="5DE828D3"/>
    <w:rsid w:val="5DE84681"/>
    <w:rsid w:val="5DF317D2"/>
    <w:rsid w:val="5DF474C9"/>
    <w:rsid w:val="5DFA4E98"/>
    <w:rsid w:val="5E032F28"/>
    <w:rsid w:val="5E0664F2"/>
    <w:rsid w:val="5E0B441A"/>
    <w:rsid w:val="5E115985"/>
    <w:rsid w:val="5E127950"/>
    <w:rsid w:val="5E167440"/>
    <w:rsid w:val="5E3A79F8"/>
    <w:rsid w:val="5E420235"/>
    <w:rsid w:val="5E547F68"/>
    <w:rsid w:val="5E5B12F6"/>
    <w:rsid w:val="5E6C3504"/>
    <w:rsid w:val="5E710B1A"/>
    <w:rsid w:val="5E715233"/>
    <w:rsid w:val="5E916AC6"/>
    <w:rsid w:val="5E9860A7"/>
    <w:rsid w:val="5EBF1885"/>
    <w:rsid w:val="5EC622D1"/>
    <w:rsid w:val="5EC7698C"/>
    <w:rsid w:val="5ECB4E7A"/>
    <w:rsid w:val="5ED30E8D"/>
    <w:rsid w:val="5EDD49E0"/>
    <w:rsid w:val="5EDF7832"/>
    <w:rsid w:val="5EF3065B"/>
    <w:rsid w:val="5EF61A15"/>
    <w:rsid w:val="5F0A5168"/>
    <w:rsid w:val="5F13397F"/>
    <w:rsid w:val="5F144D9F"/>
    <w:rsid w:val="5F157D42"/>
    <w:rsid w:val="5F2416E8"/>
    <w:rsid w:val="5F2B0CC9"/>
    <w:rsid w:val="5F4B136B"/>
    <w:rsid w:val="5F532747"/>
    <w:rsid w:val="5F55367B"/>
    <w:rsid w:val="5F5D7390"/>
    <w:rsid w:val="5F5F0972"/>
    <w:rsid w:val="5F6366B5"/>
    <w:rsid w:val="5F64242D"/>
    <w:rsid w:val="5F674188"/>
    <w:rsid w:val="5F7C1C78"/>
    <w:rsid w:val="5F8605F5"/>
    <w:rsid w:val="5F89148E"/>
    <w:rsid w:val="5F8E3006"/>
    <w:rsid w:val="5F93686E"/>
    <w:rsid w:val="5F9B6D89"/>
    <w:rsid w:val="5F9E4C6A"/>
    <w:rsid w:val="5F9F5213"/>
    <w:rsid w:val="5FAD7930"/>
    <w:rsid w:val="5FB15018"/>
    <w:rsid w:val="5FB567E4"/>
    <w:rsid w:val="5FBC15BE"/>
    <w:rsid w:val="5FBE38EB"/>
    <w:rsid w:val="5FCC6511"/>
    <w:rsid w:val="5FD44EBD"/>
    <w:rsid w:val="5FD90725"/>
    <w:rsid w:val="5FE80968"/>
    <w:rsid w:val="5FE873D0"/>
    <w:rsid w:val="5FE96FE1"/>
    <w:rsid w:val="5FED0E4F"/>
    <w:rsid w:val="5FF4730D"/>
    <w:rsid w:val="60031C46"/>
    <w:rsid w:val="600913DF"/>
    <w:rsid w:val="600D2854"/>
    <w:rsid w:val="601654D5"/>
    <w:rsid w:val="601849F0"/>
    <w:rsid w:val="601C6864"/>
    <w:rsid w:val="602009D7"/>
    <w:rsid w:val="60206354"/>
    <w:rsid w:val="602D6CC3"/>
    <w:rsid w:val="6054424F"/>
    <w:rsid w:val="60675319"/>
    <w:rsid w:val="6074044E"/>
    <w:rsid w:val="607466A0"/>
    <w:rsid w:val="60813AD2"/>
    <w:rsid w:val="608C626D"/>
    <w:rsid w:val="60B13450"/>
    <w:rsid w:val="60B8658C"/>
    <w:rsid w:val="60C00EE5"/>
    <w:rsid w:val="60C23E1D"/>
    <w:rsid w:val="60CD17EC"/>
    <w:rsid w:val="60D13AF2"/>
    <w:rsid w:val="60D809DC"/>
    <w:rsid w:val="60DF7FBD"/>
    <w:rsid w:val="60F81675"/>
    <w:rsid w:val="60FC34E5"/>
    <w:rsid w:val="60FF065F"/>
    <w:rsid w:val="610276B8"/>
    <w:rsid w:val="61043BDE"/>
    <w:rsid w:val="611759A9"/>
    <w:rsid w:val="6118702B"/>
    <w:rsid w:val="611C731A"/>
    <w:rsid w:val="61221713"/>
    <w:rsid w:val="61300F17"/>
    <w:rsid w:val="61303EBF"/>
    <w:rsid w:val="61306A6A"/>
    <w:rsid w:val="61334675"/>
    <w:rsid w:val="613C71BD"/>
    <w:rsid w:val="6142054C"/>
    <w:rsid w:val="61506C4E"/>
    <w:rsid w:val="615E4FAA"/>
    <w:rsid w:val="61665FE8"/>
    <w:rsid w:val="617050AC"/>
    <w:rsid w:val="617937F2"/>
    <w:rsid w:val="61827DCF"/>
    <w:rsid w:val="61856267"/>
    <w:rsid w:val="61863344"/>
    <w:rsid w:val="61946FF9"/>
    <w:rsid w:val="61A86601"/>
    <w:rsid w:val="61AA2779"/>
    <w:rsid w:val="61AB2103"/>
    <w:rsid w:val="61BA1455"/>
    <w:rsid w:val="61C15914"/>
    <w:rsid w:val="61C3168D"/>
    <w:rsid w:val="61C33FBA"/>
    <w:rsid w:val="61C6117D"/>
    <w:rsid w:val="61C6283F"/>
    <w:rsid w:val="61CD250B"/>
    <w:rsid w:val="61CD42B9"/>
    <w:rsid w:val="61FB30C1"/>
    <w:rsid w:val="62061579"/>
    <w:rsid w:val="621C2B4B"/>
    <w:rsid w:val="622A70E9"/>
    <w:rsid w:val="622C0CE3"/>
    <w:rsid w:val="62392916"/>
    <w:rsid w:val="623936FD"/>
    <w:rsid w:val="62410803"/>
    <w:rsid w:val="624A3B5C"/>
    <w:rsid w:val="624C78D4"/>
    <w:rsid w:val="624D71A8"/>
    <w:rsid w:val="624E0E8D"/>
    <w:rsid w:val="62525071"/>
    <w:rsid w:val="625422E5"/>
    <w:rsid w:val="625B38C4"/>
    <w:rsid w:val="625D388F"/>
    <w:rsid w:val="62711C4D"/>
    <w:rsid w:val="62825B4B"/>
    <w:rsid w:val="628C1A7E"/>
    <w:rsid w:val="62914AD2"/>
    <w:rsid w:val="62932EE6"/>
    <w:rsid w:val="62947A74"/>
    <w:rsid w:val="62970C2B"/>
    <w:rsid w:val="629B7F14"/>
    <w:rsid w:val="62B15989"/>
    <w:rsid w:val="62B17737"/>
    <w:rsid w:val="62B65CA2"/>
    <w:rsid w:val="62C20355"/>
    <w:rsid w:val="62DA4EE0"/>
    <w:rsid w:val="62E17492"/>
    <w:rsid w:val="62E3472B"/>
    <w:rsid w:val="62EC19DB"/>
    <w:rsid w:val="62EE5BFE"/>
    <w:rsid w:val="630E6937"/>
    <w:rsid w:val="631101D6"/>
    <w:rsid w:val="63133F4E"/>
    <w:rsid w:val="6313504A"/>
    <w:rsid w:val="631A352E"/>
    <w:rsid w:val="631F0B45"/>
    <w:rsid w:val="631F28F3"/>
    <w:rsid w:val="632443AD"/>
    <w:rsid w:val="63273E9D"/>
    <w:rsid w:val="63281769"/>
    <w:rsid w:val="63293771"/>
    <w:rsid w:val="63310878"/>
    <w:rsid w:val="633E40F5"/>
    <w:rsid w:val="634467FD"/>
    <w:rsid w:val="63464323"/>
    <w:rsid w:val="63482C1C"/>
    <w:rsid w:val="634906E0"/>
    <w:rsid w:val="634B5A8B"/>
    <w:rsid w:val="635307EE"/>
    <w:rsid w:val="635D123E"/>
    <w:rsid w:val="63604CB9"/>
    <w:rsid w:val="63657691"/>
    <w:rsid w:val="636A2E3B"/>
    <w:rsid w:val="636C7575"/>
    <w:rsid w:val="637075F2"/>
    <w:rsid w:val="63775FB6"/>
    <w:rsid w:val="637B1AF3"/>
    <w:rsid w:val="6384309D"/>
    <w:rsid w:val="638766EA"/>
    <w:rsid w:val="638E1826"/>
    <w:rsid w:val="63972DD1"/>
    <w:rsid w:val="63984453"/>
    <w:rsid w:val="63AB63EB"/>
    <w:rsid w:val="63AD6150"/>
    <w:rsid w:val="63AE3C76"/>
    <w:rsid w:val="63BC6FD9"/>
    <w:rsid w:val="63BF7C32"/>
    <w:rsid w:val="63C560E9"/>
    <w:rsid w:val="63E2279B"/>
    <w:rsid w:val="63ED479F"/>
    <w:rsid w:val="64002526"/>
    <w:rsid w:val="6401024A"/>
    <w:rsid w:val="640308A6"/>
    <w:rsid w:val="641461CF"/>
    <w:rsid w:val="64155AA4"/>
    <w:rsid w:val="64185B46"/>
    <w:rsid w:val="641A130C"/>
    <w:rsid w:val="64246991"/>
    <w:rsid w:val="643423CE"/>
    <w:rsid w:val="64392B34"/>
    <w:rsid w:val="64503516"/>
    <w:rsid w:val="645919C6"/>
    <w:rsid w:val="645946AB"/>
    <w:rsid w:val="64696AA3"/>
    <w:rsid w:val="646F3406"/>
    <w:rsid w:val="64740A1C"/>
    <w:rsid w:val="64754794"/>
    <w:rsid w:val="648570CD"/>
    <w:rsid w:val="64917309"/>
    <w:rsid w:val="64942E6C"/>
    <w:rsid w:val="6497295D"/>
    <w:rsid w:val="64994927"/>
    <w:rsid w:val="649D4417"/>
    <w:rsid w:val="64A55079"/>
    <w:rsid w:val="64A608BE"/>
    <w:rsid w:val="64AC1C20"/>
    <w:rsid w:val="64AF5EF8"/>
    <w:rsid w:val="64B00C46"/>
    <w:rsid w:val="64B15D39"/>
    <w:rsid w:val="64B27796"/>
    <w:rsid w:val="64B57D27"/>
    <w:rsid w:val="64C44459"/>
    <w:rsid w:val="64DD4813"/>
    <w:rsid w:val="64E260A6"/>
    <w:rsid w:val="64EC0EFA"/>
    <w:rsid w:val="64F44BA8"/>
    <w:rsid w:val="64F563D7"/>
    <w:rsid w:val="64FD1CB9"/>
    <w:rsid w:val="65014A37"/>
    <w:rsid w:val="651D10B4"/>
    <w:rsid w:val="652F2BDF"/>
    <w:rsid w:val="653137E4"/>
    <w:rsid w:val="65557C61"/>
    <w:rsid w:val="656F755B"/>
    <w:rsid w:val="65752C9E"/>
    <w:rsid w:val="659155FE"/>
    <w:rsid w:val="65953340"/>
    <w:rsid w:val="65982E30"/>
    <w:rsid w:val="659E0FB3"/>
    <w:rsid w:val="659F5F6D"/>
    <w:rsid w:val="65B01F28"/>
    <w:rsid w:val="65BF216B"/>
    <w:rsid w:val="65C14ED8"/>
    <w:rsid w:val="65CA1CFB"/>
    <w:rsid w:val="65CB6D62"/>
    <w:rsid w:val="65CE23AE"/>
    <w:rsid w:val="65CE2E54"/>
    <w:rsid w:val="65DA6FA5"/>
    <w:rsid w:val="65DF6369"/>
    <w:rsid w:val="65E03897"/>
    <w:rsid w:val="65F04A1A"/>
    <w:rsid w:val="65F61237"/>
    <w:rsid w:val="65FB7547"/>
    <w:rsid w:val="65FE2039"/>
    <w:rsid w:val="66057311"/>
    <w:rsid w:val="660B42BE"/>
    <w:rsid w:val="661E0CF7"/>
    <w:rsid w:val="6633066D"/>
    <w:rsid w:val="66383EBB"/>
    <w:rsid w:val="663B6394"/>
    <w:rsid w:val="663E5786"/>
    <w:rsid w:val="663F505A"/>
    <w:rsid w:val="66400C3A"/>
    <w:rsid w:val="664A412A"/>
    <w:rsid w:val="665B6983"/>
    <w:rsid w:val="665E1984"/>
    <w:rsid w:val="665E7BD6"/>
    <w:rsid w:val="666A657B"/>
    <w:rsid w:val="667967BE"/>
    <w:rsid w:val="66925AD1"/>
    <w:rsid w:val="66A7157D"/>
    <w:rsid w:val="66AF0431"/>
    <w:rsid w:val="66B176FD"/>
    <w:rsid w:val="66BC40A7"/>
    <w:rsid w:val="66BE7A8F"/>
    <w:rsid w:val="66C34CD3"/>
    <w:rsid w:val="66CD6B09"/>
    <w:rsid w:val="66E0683D"/>
    <w:rsid w:val="66E73230"/>
    <w:rsid w:val="66EA76BB"/>
    <w:rsid w:val="66F916AD"/>
    <w:rsid w:val="67000C8D"/>
    <w:rsid w:val="67050051"/>
    <w:rsid w:val="67090898"/>
    <w:rsid w:val="670C13E0"/>
    <w:rsid w:val="670E6FEF"/>
    <w:rsid w:val="671037C1"/>
    <w:rsid w:val="67184229"/>
    <w:rsid w:val="67185FD7"/>
    <w:rsid w:val="671C2162"/>
    <w:rsid w:val="671E1113"/>
    <w:rsid w:val="672D1422"/>
    <w:rsid w:val="672E75A8"/>
    <w:rsid w:val="67310E46"/>
    <w:rsid w:val="67363980"/>
    <w:rsid w:val="673D5826"/>
    <w:rsid w:val="67440D21"/>
    <w:rsid w:val="674C4DEE"/>
    <w:rsid w:val="674E0FD0"/>
    <w:rsid w:val="675308E1"/>
    <w:rsid w:val="67540EF7"/>
    <w:rsid w:val="675C4C43"/>
    <w:rsid w:val="6760172C"/>
    <w:rsid w:val="67660922"/>
    <w:rsid w:val="676C1E7F"/>
    <w:rsid w:val="6784366C"/>
    <w:rsid w:val="678A7131"/>
    <w:rsid w:val="6793326D"/>
    <w:rsid w:val="67AA29A7"/>
    <w:rsid w:val="67AC2BC3"/>
    <w:rsid w:val="67B97561"/>
    <w:rsid w:val="67C72F40"/>
    <w:rsid w:val="67CC5D59"/>
    <w:rsid w:val="67E342A5"/>
    <w:rsid w:val="67E45EB9"/>
    <w:rsid w:val="67E934CF"/>
    <w:rsid w:val="67EC2FBF"/>
    <w:rsid w:val="67EE0AC3"/>
    <w:rsid w:val="67F3434E"/>
    <w:rsid w:val="67FE724E"/>
    <w:rsid w:val="68016A6B"/>
    <w:rsid w:val="68027301"/>
    <w:rsid w:val="68060525"/>
    <w:rsid w:val="682C160E"/>
    <w:rsid w:val="68376930"/>
    <w:rsid w:val="684A6664"/>
    <w:rsid w:val="68587300"/>
    <w:rsid w:val="685C0145"/>
    <w:rsid w:val="68646FFA"/>
    <w:rsid w:val="687436E1"/>
    <w:rsid w:val="6875624B"/>
    <w:rsid w:val="687E0B86"/>
    <w:rsid w:val="68833924"/>
    <w:rsid w:val="68914293"/>
    <w:rsid w:val="68917E5B"/>
    <w:rsid w:val="689478DF"/>
    <w:rsid w:val="689C2C37"/>
    <w:rsid w:val="689C6793"/>
    <w:rsid w:val="68B03FED"/>
    <w:rsid w:val="68B24209"/>
    <w:rsid w:val="68B53717"/>
    <w:rsid w:val="68B57855"/>
    <w:rsid w:val="68B7607E"/>
    <w:rsid w:val="68BD17A6"/>
    <w:rsid w:val="68C1269E"/>
    <w:rsid w:val="68C968D5"/>
    <w:rsid w:val="68CB0E27"/>
    <w:rsid w:val="68CE7E1E"/>
    <w:rsid w:val="68D35147"/>
    <w:rsid w:val="68DB3760"/>
    <w:rsid w:val="68E02592"/>
    <w:rsid w:val="68E92CE4"/>
    <w:rsid w:val="68F20AA9"/>
    <w:rsid w:val="690069D6"/>
    <w:rsid w:val="690305C1"/>
    <w:rsid w:val="690D143F"/>
    <w:rsid w:val="690F7F4A"/>
    <w:rsid w:val="69123026"/>
    <w:rsid w:val="69140A20"/>
    <w:rsid w:val="69146C72"/>
    <w:rsid w:val="691722BE"/>
    <w:rsid w:val="69180510"/>
    <w:rsid w:val="691B2548"/>
    <w:rsid w:val="69252C2D"/>
    <w:rsid w:val="693925CC"/>
    <w:rsid w:val="69482477"/>
    <w:rsid w:val="694D7A8E"/>
    <w:rsid w:val="694E1928"/>
    <w:rsid w:val="694F3806"/>
    <w:rsid w:val="696A5E74"/>
    <w:rsid w:val="696E627E"/>
    <w:rsid w:val="697949DC"/>
    <w:rsid w:val="697F058F"/>
    <w:rsid w:val="69854EF8"/>
    <w:rsid w:val="69872FA0"/>
    <w:rsid w:val="698A6F34"/>
    <w:rsid w:val="69B12712"/>
    <w:rsid w:val="69B95123"/>
    <w:rsid w:val="69CB543E"/>
    <w:rsid w:val="69D1246D"/>
    <w:rsid w:val="69DA57C5"/>
    <w:rsid w:val="69DD108A"/>
    <w:rsid w:val="69E10810"/>
    <w:rsid w:val="69E20B1E"/>
    <w:rsid w:val="69E43118"/>
    <w:rsid w:val="69E75C0C"/>
    <w:rsid w:val="69E76134"/>
    <w:rsid w:val="69F0447D"/>
    <w:rsid w:val="69F83E9D"/>
    <w:rsid w:val="69FD7EEA"/>
    <w:rsid w:val="6A022F6E"/>
    <w:rsid w:val="6A130CD7"/>
    <w:rsid w:val="6A164324"/>
    <w:rsid w:val="6A1F63AC"/>
    <w:rsid w:val="6A462161"/>
    <w:rsid w:val="6A5104FE"/>
    <w:rsid w:val="6A5A4B58"/>
    <w:rsid w:val="6A632B5C"/>
    <w:rsid w:val="6A6719F5"/>
    <w:rsid w:val="6A707ED8"/>
    <w:rsid w:val="6A744D92"/>
    <w:rsid w:val="6A845731"/>
    <w:rsid w:val="6A8614A9"/>
    <w:rsid w:val="6A933BC6"/>
    <w:rsid w:val="6A9A31A7"/>
    <w:rsid w:val="6AA560DB"/>
    <w:rsid w:val="6AA81420"/>
    <w:rsid w:val="6AAE4730"/>
    <w:rsid w:val="6AB44268"/>
    <w:rsid w:val="6ABC136F"/>
    <w:rsid w:val="6AC33CDC"/>
    <w:rsid w:val="6AC52C03"/>
    <w:rsid w:val="6AD22940"/>
    <w:rsid w:val="6AD466B8"/>
    <w:rsid w:val="6AD77F57"/>
    <w:rsid w:val="6AE0256E"/>
    <w:rsid w:val="6AED04AA"/>
    <w:rsid w:val="6AF808CF"/>
    <w:rsid w:val="6AFE1987"/>
    <w:rsid w:val="6B040620"/>
    <w:rsid w:val="6B170353"/>
    <w:rsid w:val="6B2967FF"/>
    <w:rsid w:val="6B2A452A"/>
    <w:rsid w:val="6B2B4BA1"/>
    <w:rsid w:val="6B4E64CF"/>
    <w:rsid w:val="6B633598"/>
    <w:rsid w:val="6B637A3C"/>
    <w:rsid w:val="6B71341D"/>
    <w:rsid w:val="6B726B07"/>
    <w:rsid w:val="6B7E0BAA"/>
    <w:rsid w:val="6B8719CA"/>
    <w:rsid w:val="6B924EE4"/>
    <w:rsid w:val="6B9E3FB5"/>
    <w:rsid w:val="6BA76C23"/>
    <w:rsid w:val="6BAD2BA8"/>
    <w:rsid w:val="6BAE6F0A"/>
    <w:rsid w:val="6BB12556"/>
    <w:rsid w:val="6BB169FA"/>
    <w:rsid w:val="6BBA6E4B"/>
    <w:rsid w:val="6BBD0EFB"/>
    <w:rsid w:val="6BCF04EF"/>
    <w:rsid w:val="6BD77D3D"/>
    <w:rsid w:val="6BDA1CC5"/>
    <w:rsid w:val="6BE60881"/>
    <w:rsid w:val="6BE648F5"/>
    <w:rsid w:val="6BE7241B"/>
    <w:rsid w:val="6BE7474E"/>
    <w:rsid w:val="6BFD1C3F"/>
    <w:rsid w:val="6C16685D"/>
    <w:rsid w:val="6C1B20C5"/>
    <w:rsid w:val="6C1F3963"/>
    <w:rsid w:val="6C205DBB"/>
    <w:rsid w:val="6C2608D9"/>
    <w:rsid w:val="6C2F0661"/>
    <w:rsid w:val="6C3111D4"/>
    <w:rsid w:val="6C3F5DB4"/>
    <w:rsid w:val="6C450BD7"/>
    <w:rsid w:val="6C467142"/>
    <w:rsid w:val="6C5E62E5"/>
    <w:rsid w:val="6C63616D"/>
    <w:rsid w:val="6C753F3A"/>
    <w:rsid w:val="6C773A8C"/>
    <w:rsid w:val="6C830396"/>
    <w:rsid w:val="6C891725"/>
    <w:rsid w:val="6C8E2C3C"/>
    <w:rsid w:val="6C944351"/>
    <w:rsid w:val="6CA70F93"/>
    <w:rsid w:val="6CB57E24"/>
    <w:rsid w:val="6CCD1611"/>
    <w:rsid w:val="6CD504C6"/>
    <w:rsid w:val="6CE07597"/>
    <w:rsid w:val="6CE626D3"/>
    <w:rsid w:val="6CE94E1E"/>
    <w:rsid w:val="6CE95332"/>
    <w:rsid w:val="6CED5810"/>
    <w:rsid w:val="6CFC5A53"/>
    <w:rsid w:val="6D036DE1"/>
    <w:rsid w:val="6D0E5786"/>
    <w:rsid w:val="6D11717A"/>
    <w:rsid w:val="6D12171A"/>
    <w:rsid w:val="6D1234C8"/>
    <w:rsid w:val="6D140FEE"/>
    <w:rsid w:val="6D205BE5"/>
    <w:rsid w:val="6D2D20B0"/>
    <w:rsid w:val="6D340BE2"/>
    <w:rsid w:val="6D372F2F"/>
    <w:rsid w:val="6D423DCE"/>
    <w:rsid w:val="6D725D15"/>
    <w:rsid w:val="6D735272"/>
    <w:rsid w:val="6D8343C6"/>
    <w:rsid w:val="6D852097"/>
    <w:rsid w:val="6DA2233C"/>
    <w:rsid w:val="6DAD31F1"/>
    <w:rsid w:val="6DB36A59"/>
    <w:rsid w:val="6DE44E65"/>
    <w:rsid w:val="6DE54FF8"/>
    <w:rsid w:val="6DE85FD7"/>
    <w:rsid w:val="6DEA6E73"/>
    <w:rsid w:val="6DF90E3D"/>
    <w:rsid w:val="6E034F06"/>
    <w:rsid w:val="6E0409A2"/>
    <w:rsid w:val="6E056B89"/>
    <w:rsid w:val="6E143718"/>
    <w:rsid w:val="6E1A6AD8"/>
    <w:rsid w:val="6E1B015A"/>
    <w:rsid w:val="6E2A65EF"/>
    <w:rsid w:val="6E3525C2"/>
    <w:rsid w:val="6E380F7E"/>
    <w:rsid w:val="6E384712"/>
    <w:rsid w:val="6E3C2D80"/>
    <w:rsid w:val="6E4C0C5C"/>
    <w:rsid w:val="6E535B46"/>
    <w:rsid w:val="6E5C0E9F"/>
    <w:rsid w:val="6E5C7EE7"/>
    <w:rsid w:val="6E5F098F"/>
    <w:rsid w:val="6E692661"/>
    <w:rsid w:val="6E69536A"/>
    <w:rsid w:val="6E804461"/>
    <w:rsid w:val="6E934195"/>
    <w:rsid w:val="6EA2087C"/>
    <w:rsid w:val="6EA63EC8"/>
    <w:rsid w:val="6ED911FA"/>
    <w:rsid w:val="6EDA6267"/>
    <w:rsid w:val="6EDB5099"/>
    <w:rsid w:val="6EEB5D7F"/>
    <w:rsid w:val="6F120D5B"/>
    <w:rsid w:val="6F153A4F"/>
    <w:rsid w:val="6F1F1E36"/>
    <w:rsid w:val="6F23376B"/>
    <w:rsid w:val="6F29606F"/>
    <w:rsid w:val="6F3516F0"/>
    <w:rsid w:val="6F35524C"/>
    <w:rsid w:val="6F365459"/>
    <w:rsid w:val="6F3E67F6"/>
    <w:rsid w:val="6F435BBB"/>
    <w:rsid w:val="6F4B0F13"/>
    <w:rsid w:val="6F543924"/>
    <w:rsid w:val="6F5576F5"/>
    <w:rsid w:val="6F5778B8"/>
    <w:rsid w:val="6F593630"/>
    <w:rsid w:val="6F5A489D"/>
    <w:rsid w:val="6F616041"/>
    <w:rsid w:val="6F683873"/>
    <w:rsid w:val="6F6873CF"/>
    <w:rsid w:val="6F6D0E8A"/>
    <w:rsid w:val="6F7044D6"/>
    <w:rsid w:val="6F781CD0"/>
    <w:rsid w:val="6F80296B"/>
    <w:rsid w:val="6F863CF9"/>
    <w:rsid w:val="6F8C7562"/>
    <w:rsid w:val="6F9806A6"/>
    <w:rsid w:val="6FA26D85"/>
    <w:rsid w:val="6FAC19A5"/>
    <w:rsid w:val="6FAC19B2"/>
    <w:rsid w:val="6FBC771B"/>
    <w:rsid w:val="6FD35191"/>
    <w:rsid w:val="6FF46EB5"/>
    <w:rsid w:val="6FF60E7F"/>
    <w:rsid w:val="700D7F77"/>
    <w:rsid w:val="7013690C"/>
    <w:rsid w:val="702130A9"/>
    <w:rsid w:val="703579A2"/>
    <w:rsid w:val="70433998"/>
    <w:rsid w:val="70451ADA"/>
    <w:rsid w:val="704D257C"/>
    <w:rsid w:val="704E2A69"/>
    <w:rsid w:val="7060454A"/>
    <w:rsid w:val="7062117A"/>
    <w:rsid w:val="7064376F"/>
    <w:rsid w:val="70723CA2"/>
    <w:rsid w:val="7076459B"/>
    <w:rsid w:val="707C1F05"/>
    <w:rsid w:val="708E730A"/>
    <w:rsid w:val="70955A6B"/>
    <w:rsid w:val="709F1517"/>
    <w:rsid w:val="70A94143"/>
    <w:rsid w:val="70AB3A18"/>
    <w:rsid w:val="70B34CA4"/>
    <w:rsid w:val="70B7060E"/>
    <w:rsid w:val="70B85E7F"/>
    <w:rsid w:val="70C82A0E"/>
    <w:rsid w:val="70D223E8"/>
    <w:rsid w:val="70D311C0"/>
    <w:rsid w:val="70D564D6"/>
    <w:rsid w:val="70D867D7"/>
    <w:rsid w:val="70E76136"/>
    <w:rsid w:val="7105607D"/>
    <w:rsid w:val="71062759"/>
    <w:rsid w:val="71095230"/>
    <w:rsid w:val="71193077"/>
    <w:rsid w:val="711D243B"/>
    <w:rsid w:val="7120072C"/>
    <w:rsid w:val="713B3EA8"/>
    <w:rsid w:val="714D4ACF"/>
    <w:rsid w:val="715F4B14"/>
    <w:rsid w:val="716671E2"/>
    <w:rsid w:val="716A5681"/>
    <w:rsid w:val="716D33C3"/>
    <w:rsid w:val="716F0EE9"/>
    <w:rsid w:val="717B77BB"/>
    <w:rsid w:val="71803F06"/>
    <w:rsid w:val="71805148"/>
    <w:rsid w:val="7185070D"/>
    <w:rsid w:val="719721EE"/>
    <w:rsid w:val="719C15B2"/>
    <w:rsid w:val="71A0468D"/>
    <w:rsid w:val="71A17C4B"/>
    <w:rsid w:val="71AA1F21"/>
    <w:rsid w:val="71AA4758"/>
    <w:rsid w:val="71B93FFA"/>
    <w:rsid w:val="71BE286A"/>
    <w:rsid w:val="71BE59CD"/>
    <w:rsid w:val="71C55A11"/>
    <w:rsid w:val="71D7083C"/>
    <w:rsid w:val="71DC5BE7"/>
    <w:rsid w:val="71DD0E66"/>
    <w:rsid w:val="71E33685"/>
    <w:rsid w:val="71E739AA"/>
    <w:rsid w:val="71F66820"/>
    <w:rsid w:val="71F71FD7"/>
    <w:rsid w:val="71FE401B"/>
    <w:rsid w:val="72005FE5"/>
    <w:rsid w:val="72031631"/>
    <w:rsid w:val="72106A25"/>
    <w:rsid w:val="72126DA0"/>
    <w:rsid w:val="721D26F3"/>
    <w:rsid w:val="72224147"/>
    <w:rsid w:val="722A7C6B"/>
    <w:rsid w:val="722C6DDA"/>
    <w:rsid w:val="722D6D03"/>
    <w:rsid w:val="72343EE1"/>
    <w:rsid w:val="72347A3D"/>
    <w:rsid w:val="72457E9C"/>
    <w:rsid w:val="7249798C"/>
    <w:rsid w:val="72640322"/>
    <w:rsid w:val="72695938"/>
    <w:rsid w:val="72727E51"/>
    <w:rsid w:val="7278201F"/>
    <w:rsid w:val="727D5888"/>
    <w:rsid w:val="72800ED4"/>
    <w:rsid w:val="72802C82"/>
    <w:rsid w:val="728269FA"/>
    <w:rsid w:val="728409C4"/>
    <w:rsid w:val="72867D6D"/>
    <w:rsid w:val="728C1627"/>
    <w:rsid w:val="7295497F"/>
    <w:rsid w:val="72A942BC"/>
    <w:rsid w:val="72AC5715"/>
    <w:rsid w:val="72B8241C"/>
    <w:rsid w:val="72BD7A32"/>
    <w:rsid w:val="72BF5110"/>
    <w:rsid w:val="72C55C8D"/>
    <w:rsid w:val="72C74D55"/>
    <w:rsid w:val="72D11D6A"/>
    <w:rsid w:val="72DA4A88"/>
    <w:rsid w:val="72E40A32"/>
    <w:rsid w:val="72E41463"/>
    <w:rsid w:val="72E74AAF"/>
    <w:rsid w:val="72EB459F"/>
    <w:rsid w:val="72F625F3"/>
    <w:rsid w:val="72FD23CD"/>
    <w:rsid w:val="73010267"/>
    <w:rsid w:val="730438B3"/>
    <w:rsid w:val="731616CA"/>
    <w:rsid w:val="73325FAB"/>
    <w:rsid w:val="73393742"/>
    <w:rsid w:val="7342446D"/>
    <w:rsid w:val="734C4E47"/>
    <w:rsid w:val="736305DA"/>
    <w:rsid w:val="73634E7E"/>
    <w:rsid w:val="736742CD"/>
    <w:rsid w:val="736F3422"/>
    <w:rsid w:val="737170B4"/>
    <w:rsid w:val="73726E46"/>
    <w:rsid w:val="737A780A"/>
    <w:rsid w:val="737E3665"/>
    <w:rsid w:val="73852C46"/>
    <w:rsid w:val="7388116B"/>
    <w:rsid w:val="739143B8"/>
    <w:rsid w:val="73A40FAF"/>
    <w:rsid w:val="73A51D5E"/>
    <w:rsid w:val="73A77B0E"/>
    <w:rsid w:val="73AE6A9D"/>
    <w:rsid w:val="73AF19F5"/>
    <w:rsid w:val="73AF7CC3"/>
    <w:rsid w:val="73B23B2A"/>
    <w:rsid w:val="73B47087"/>
    <w:rsid w:val="73BF77DA"/>
    <w:rsid w:val="73C31078"/>
    <w:rsid w:val="73CA68AB"/>
    <w:rsid w:val="73DB2866"/>
    <w:rsid w:val="73E07E7C"/>
    <w:rsid w:val="73EB6821"/>
    <w:rsid w:val="73F65CC3"/>
    <w:rsid w:val="740651CF"/>
    <w:rsid w:val="74085625"/>
    <w:rsid w:val="740C6EC3"/>
    <w:rsid w:val="74257F85"/>
    <w:rsid w:val="74273CFD"/>
    <w:rsid w:val="744321B9"/>
    <w:rsid w:val="744D57F7"/>
    <w:rsid w:val="745E5DE3"/>
    <w:rsid w:val="74793E2D"/>
    <w:rsid w:val="74860732"/>
    <w:rsid w:val="74962655"/>
    <w:rsid w:val="74974CB9"/>
    <w:rsid w:val="749869A9"/>
    <w:rsid w:val="74A0760B"/>
    <w:rsid w:val="74A215D5"/>
    <w:rsid w:val="74AB66DC"/>
    <w:rsid w:val="74AE3AD6"/>
    <w:rsid w:val="74B04019"/>
    <w:rsid w:val="74B05286"/>
    <w:rsid w:val="74B15375"/>
    <w:rsid w:val="74B35591"/>
    <w:rsid w:val="74C74B98"/>
    <w:rsid w:val="74D3178F"/>
    <w:rsid w:val="74DD0860"/>
    <w:rsid w:val="74E25E76"/>
    <w:rsid w:val="74E90FB2"/>
    <w:rsid w:val="74F00593"/>
    <w:rsid w:val="74F160B9"/>
    <w:rsid w:val="74FA4F6E"/>
    <w:rsid w:val="74FB2A62"/>
    <w:rsid w:val="74FC6F38"/>
    <w:rsid w:val="750202C6"/>
    <w:rsid w:val="750B0F29"/>
    <w:rsid w:val="750E0A19"/>
    <w:rsid w:val="75151DA7"/>
    <w:rsid w:val="75170501"/>
    <w:rsid w:val="7517696C"/>
    <w:rsid w:val="75256005"/>
    <w:rsid w:val="752A5329"/>
    <w:rsid w:val="753C7334"/>
    <w:rsid w:val="75410DEE"/>
    <w:rsid w:val="754D21D6"/>
    <w:rsid w:val="755A1EB0"/>
    <w:rsid w:val="75610B49"/>
    <w:rsid w:val="756D1BE3"/>
    <w:rsid w:val="757B0E68"/>
    <w:rsid w:val="75916879"/>
    <w:rsid w:val="759E3B4B"/>
    <w:rsid w:val="759E6C36"/>
    <w:rsid w:val="75AB270C"/>
    <w:rsid w:val="75CD00DB"/>
    <w:rsid w:val="75EA55FF"/>
    <w:rsid w:val="75EB2B08"/>
    <w:rsid w:val="75EC7474"/>
    <w:rsid w:val="75F6692F"/>
    <w:rsid w:val="75F714AD"/>
    <w:rsid w:val="75FC2F67"/>
    <w:rsid w:val="7610256F"/>
    <w:rsid w:val="7615332D"/>
    <w:rsid w:val="761756AB"/>
    <w:rsid w:val="762027B2"/>
    <w:rsid w:val="76257DC8"/>
    <w:rsid w:val="762A1882"/>
    <w:rsid w:val="763C5112"/>
    <w:rsid w:val="763E76DA"/>
    <w:rsid w:val="764140A7"/>
    <w:rsid w:val="764E05BE"/>
    <w:rsid w:val="766C3C49"/>
    <w:rsid w:val="768014A2"/>
    <w:rsid w:val="76805946"/>
    <w:rsid w:val="76883582"/>
    <w:rsid w:val="768C42C0"/>
    <w:rsid w:val="76984A3E"/>
    <w:rsid w:val="769D18FF"/>
    <w:rsid w:val="769E5DCD"/>
    <w:rsid w:val="76A01B45"/>
    <w:rsid w:val="76AE24B4"/>
    <w:rsid w:val="76B53B8A"/>
    <w:rsid w:val="76BF021D"/>
    <w:rsid w:val="76C021E7"/>
    <w:rsid w:val="76C0457F"/>
    <w:rsid w:val="76C234D2"/>
    <w:rsid w:val="76C515AB"/>
    <w:rsid w:val="76C53359"/>
    <w:rsid w:val="76C57C88"/>
    <w:rsid w:val="76D413CA"/>
    <w:rsid w:val="76D55A49"/>
    <w:rsid w:val="76DD6482"/>
    <w:rsid w:val="76E063E5"/>
    <w:rsid w:val="76EE28B0"/>
    <w:rsid w:val="76EF6628"/>
    <w:rsid w:val="770A4420"/>
    <w:rsid w:val="770E012A"/>
    <w:rsid w:val="771542E1"/>
    <w:rsid w:val="771D13E7"/>
    <w:rsid w:val="77214F12"/>
    <w:rsid w:val="77415016"/>
    <w:rsid w:val="774921DC"/>
    <w:rsid w:val="774B24CA"/>
    <w:rsid w:val="77690147"/>
    <w:rsid w:val="778D20C9"/>
    <w:rsid w:val="77A71C28"/>
    <w:rsid w:val="77A86F03"/>
    <w:rsid w:val="77AE75EE"/>
    <w:rsid w:val="77B21B30"/>
    <w:rsid w:val="77BB58F1"/>
    <w:rsid w:val="77BE6726"/>
    <w:rsid w:val="77C67389"/>
    <w:rsid w:val="77CC4A7E"/>
    <w:rsid w:val="77D20B84"/>
    <w:rsid w:val="77D25D2E"/>
    <w:rsid w:val="77D45F4A"/>
    <w:rsid w:val="77EC030F"/>
    <w:rsid w:val="780041AA"/>
    <w:rsid w:val="780162E2"/>
    <w:rsid w:val="78063C29"/>
    <w:rsid w:val="78092607"/>
    <w:rsid w:val="78120820"/>
    <w:rsid w:val="7814407F"/>
    <w:rsid w:val="781659A5"/>
    <w:rsid w:val="781C344D"/>
    <w:rsid w:val="782C1E12"/>
    <w:rsid w:val="782C7B34"/>
    <w:rsid w:val="782E55ED"/>
    <w:rsid w:val="78357812"/>
    <w:rsid w:val="78372035"/>
    <w:rsid w:val="78434E7D"/>
    <w:rsid w:val="78485FF0"/>
    <w:rsid w:val="78570929"/>
    <w:rsid w:val="785715FC"/>
    <w:rsid w:val="78591FAB"/>
    <w:rsid w:val="78663577"/>
    <w:rsid w:val="786D20AB"/>
    <w:rsid w:val="787119EB"/>
    <w:rsid w:val="787E5EB6"/>
    <w:rsid w:val="7898720E"/>
    <w:rsid w:val="78A05750"/>
    <w:rsid w:val="78A21BA4"/>
    <w:rsid w:val="78A45A31"/>
    <w:rsid w:val="78A91184"/>
    <w:rsid w:val="78AD0549"/>
    <w:rsid w:val="78B57669"/>
    <w:rsid w:val="78BB4A14"/>
    <w:rsid w:val="78C0027C"/>
    <w:rsid w:val="78C31B1A"/>
    <w:rsid w:val="78D22E20"/>
    <w:rsid w:val="78DA54CD"/>
    <w:rsid w:val="78DA7590"/>
    <w:rsid w:val="78E977D3"/>
    <w:rsid w:val="78EB3E77"/>
    <w:rsid w:val="78EE303B"/>
    <w:rsid w:val="78F65A4C"/>
    <w:rsid w:val="79052133"/>
    <w:rsid w:val="7911603F"/>
    <w:rsid w:val="792E2798"/>
    <w:rsid w:val="793E41CE"/>
    <w:rsid w:val="79522377"/>
    <w:rsid w:val="795841F9"/>
    <w:rsid w:val="79775D89"/>
    <w:rsid w:val="797D6BBB"/>
    <w:rsid w:val="798219D5"/>
    <w:rsid w:val="798E2128"/>
    <w:rsid w:val="799040F2"/>
    <w:rsid w:val="79907C4E"/>
    <w:rsid w:val="79985B76"/>
    <w:rsid w:val="79A856DF"/>
    <w:rsid w:val="79B06543"/>
    <w:rsid w:val="79D20267"/>
    <w:rsid w:val="79D41C32"/>
    <w:rsid w:val="79DA7144"/>
    <w:rsid w:val="79E65AC0"/>
    <w:rsid w:val="79EA1A55"/>
    <w:rsid w:val="79EB0C81"/>
    <w:rsid w:val="79F97F36"/>
    <w:rsid w:val="7A081B15"/>
    <w:rsid w:val="7A0C655C"/>
    <w:rsid w:val="7A102B3D"/>
    <w:rsid w:val="7A1545F8"/>
    <w:rsid w:val="7A170370"/>
    <w:rsid w:val="7A243ABF"/>
    <w:rsid w:val="7A266B63"/>
    <w:rsid w:val="7A4D1FE3"/>
    <w:rsid w:val="7A4D79F6"/>
    <w:rsid w:val="7A4E6B55"/>
    <w:rsid w:val="7A561A1A"/>
    <w:rsid w:val="7A736BF9"/>
    <w:rsid w:val="7A772BBC"/>
    <w:rsid w:val="7A852679"/>
    <w:rsid w:val="7A85352B"/>
    <w:rsid w:val="7A8A28F0"/>
    <w:rsid w:val="7A8C48BA"/>
    <w:rsid w:val="7A8D418E"/>
    <w:rsid w:val="7A96154A"/>
    <w:rsid w:val="7ACC2F08"/>
    <w:rsid w:val="7AE7324F"/>
    <w:rsid w:val="7AF9035A"/>
    <w:rsid w:val="7B0E1773"/>
    <w:rsid w:val="7B1D5512"/>
    <w:rsid w:val="7B205002"/>
    <w:rsid w:val="7B2C6C51"/>
    <w:rsid w:val="7B340AAD"/>
    <w:rsid w:val="7B4656D3"/>
    <w:rsid w:val="7B4F3085"/>
    <w:rsid w:val="7B514F61"/>
    <w:rsid w:val="7B5729C0"/>
    <w:rsid w:val="7B5A49B8"/>
    <w:rsid w:val="7B616A15"/>
    <w:rsid w:val="7B6F745C"/>
    <w:rsid w:val="7B762A22"/>
    <w:rsid w:val="7B7D4202"/>
    <w:rsid w:val="7B88083C"/>
    <w:rsid w:val="7B915F00"/>
    <w:rsid w:val="7B975CDC"/>
    <w:rsid w:val="7B9B52B6"/>
    <w:rsid w:val="7BA7127F"/>
    <w:rsid w:val="7BAB16B6"/>
    <w:rsid w:val="7BAB6FC2"/>
    <w:rsid w:val="7BAC2D3A"/>
    <w:rsid w:val="7BAF1A00"/>
    <w:rsid w:val="7BB10350"/>
    <w:rsid w:val="7BB12469"/>
    <w:rsid w:val="7BB3231A"/>
    <w:rsid w:val="7BC40997"/>
    <w:rsid w:val="7BCE4A5E"/>
    <w:rsid w:val="7BD2109B"/>
    <w:rsid w:val="7BD858DD"/>
    <w:rsid w:val="7BDA7E6F"/>
    <w:rsid w:val="7BDB1C82"/>
    <w:rsid w:val="7BDC361F"/>
    <w:rsid w:val="7BE23839"/>
    <w:rsid w:val="7BF546E1"/>
    <w:rsid w:val="7BF5648F"/>
    <w:rsid w:val="7C016BE2"/>
    <w:rsid w:val="7C027614"/>
    <w:rsid w:val="7C052C38"/>
    <w:rsid w:val="7C091EA2"/>
    <w:rsid w:val="7C1077CB"/>
    <w:rsid w:val="7C156B31"/>
    <w:rsid w:val="7C1728A9"/>
    <w:rsid w:val="7C280612"/>
    <w:rsid w:val="7C2B0102"/>
    <w:rsid w:val="7C350F81"/>
    <w:rsid w:val="7C3A6597"/>
    <w:rsid w:val="7C432AFE"/>
    <w:rsid w:val="7C44063B"/>
    <w:rsid w:val="7C4660A5"/>
    <w:rsid w:val="7C4A67DB"/>
    <w:rsid w:val="7C4B2553"/>
    <w:rsid w:val="7C5807CC"/>
    <w:rsid w:val="7C617401"/>
    <w:rsid w:val="7C63164A"/>
    <w:rsid w:val="7C6F6241"/>
    <w:rsid w:val="7C70431D"/>
    <w:rsid w:val="7C72188D"/>
    <w:rsid w:val="7C7D459B"/>
    <w:rsid w:val="7C8E3C6B"/>
    <w:rsid w:val="7C920181"/>
    <w:rsid w:val="7C9A0DE4"/>
    <w:rsid w:val="7C9A7B71"/>
    <w:rsid w:val="7C9B5288"/>
    <w:rsid w:val="7CAD0B17"/>
    <w:rsid w:val="7CAF7FC7"/>
    <w:rsid w:val="7CBB76D8"/>
    <w:rsid w:val="7CC320E9"/>
    <w:rsid w:val="7CC831E4"/>
    <w:rsid w:val="7CC97806"/>
    <w:rsid w:val="7CCC3693"/>
    <w:rsid w:val="7CD70BCB"/>
    <w:rsid w:val="7CDC1D39"/>
    <w:rsid w:val="7CE513A9"/>
    <w:rsid w:val="7CED53B8"/>
    <w:rsid w:val="7CF91FAF"/>
    <w:rsid w:val="7D024A6C"/>
    <w:rsid w:val="7D052701"/>
    <w:rsid w:val="7D0746CC"/>
    <w:rsid w:val="7D0C05E5"/>
    <w:rsid w:val="7D2D11BD"/>
    <w:rsid w:val="7D364FB1"/>
    <w:rsid w:val="7D382AD7"/>
    <w:rsid w:val="7D3B4375"/>
    <w:rsid w:val="7D690EE2"/>
    <w:rsid w:val="7D6A6A08"/>
    <w:rsid w:val="7D6C452F"/>
    <w:rsid w:val="7D8E6B9B"/>
    <w:rsid w:val="7D923955"/>
    <w:rsid w:val="7D93607C"/>
    <w:rsid w:val="7D98438D"/>
    <w:rsid w:val="7D9B4E14"/>
    <w:rsid w:val="7DAC5273"/>
    <w:rsid w:val="7DB215C4"/>
    <w:rsid w:val="7DC078DD"/>
    <w:rsid w:val="7DCC17D7"/>
    <w:rsid w:val="7DCE51E9"/>
    <w:rsid w:val="7DD520D4"/>
    <w:rsid w:val="7DDB7E4D"/>
    <w:rsid w:val="7DDF2F52"/>
    <w:rsid w:val="7DE44A0D"/>
    <w:rsid w:val="7DE52E86"/>
    <w:rsid w:val="7E01111B"/>
    <w:rsid w:val="7E10135E"/>
    <w:rsid w:val="7E172CBE"/>
    <w:rsid w:val="7E1A29E0"/>
    <w:rsid w:val="7E2253C9"/>
    <w:rsid w:val="7E240E58"/>
    <w:rsid w:val="7E2D1217"/>
    <w:rsid w:val="7E3037AE"/>
    <w:rsid w:val="7E386B07"/>
    <w:rsid w:val="7E3A2692"/>
    <w:rsid w:val="7E3D5ECB"/>
    <w:rsid w:val="7E3F39F1"/>
    <w:rsid w:val="7E486D4A"/>
    <w:rsid w:val="7E631A45"/>
    <w:rsid w:val="7E68080F"/>
    <w:rsid w:val="7E682F48"/>
    <w:rsid w:val="7E773A3E"/>
    <w:rsid w:val="7E7A0ECD"/>
    <w:rsid w:val="7E7C69F3"/>
    <w:rsid w:val="7E955D07"/>
    <w:rsid w:val="7EAD4390"/>
    <w:rsid w:val="7EAF6DC9"/>
    <w:rsid w:val="7EB20667"/>
    <w:rsid w:val="7EB443DF"/>
    <w:rsid w:val="7EB83D06"/>
    <w:rsid w:val="7EC81994"/>
    <w:rsid w:val="7ED56104"/>
    <w:rsid w:val="7EE74DB5"/>
    <w:rsid w:val="7EF50554"/>
    <w:rsid w:val="7EF944E8"/>
    <w:rsid w:val="7F0C5FC9"/>
    <w:rsid w:val="7F0D7F93"/>
    <w:rsid w:val="7F1135E0"/>
    <w:rsid w:val="7F1C4DFC"/>
    <w:rsid w:val="7F1E5B06"/>
    <w:rsid w:val="7F1F0697"/>
    <w:rsid w:val="7F203823"/>
    <w:rsid w:val="7F217DA4"/>
    <w:rsid w:val="7F2262C3"/>
    <w:rsid w:val="7F29762A"/>
    <w:rsid w:val="7F447269"/>
    <w:rsid w:val="7F453289"/>
    <w:rsid w:val="7F5160D2"/>
    <w:rsid w:val="7F855D7C"/>
    <w:rsid w:val="7F857B2A"/>
    <w:rsid w:val="7F881F44"/>
    <w:rsid w:val="7F9525ED"/>
    <w:rsid w:val="7F961D37"/>
    <w:rsid w:val="7F9B559F"/>
    <w:rsid w:val="7F9D3A37"/>
    <w:rsid w:val="7F9E0CF9"/>
    <w:rsid w:val="7F9F0C78"/>
    <w:rsid w:val="7F9F6E3D"/>
    <w:rsid w:val="7FA501CC"/>
    <w:rsid w:val="7FB83A5B"/>
    <w:rsid w:val="7FB977D3"/>
    <w:rsid w:val="7FC5796F"/>
    <w:rsid w:val="7FC67C14"/>
    <w:rsid w:val="7FD34D39"/>
    <w:rsid w:val="7FD85EAB"/>
    <w:rsid w:val="7FD92881"/>
    <w:rsid w:val="7FDF723A"/>
    <w:rsid w:val="7FE9630A"/>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6">
    <w:name w:val="toc 7"/>
    <w:basedOn w:val="1"/>
    <w:next w:val="1"/>
    <w:qFormat/>
    <w:uiPriority w:val="39"/>
    <w:pPr>
      <w:ind w:left="1260"/>
      <w:jc w:val="left"/>
    </w:pPr>
    <w:rPr>
      <w:sz w:val="18"/>
      <w:szCs w:val="18"/>
    </w:rPr>
  </w:style>
  <w:style w:type="paragraph" w:styleId="7">
    <w:name w:val="Normal Indent"/>
    <w:basedOn w:val="1"/>
    <w:qFormat/>
    <w:uiPriority w:val="0"/>
    <w:pPr>
      <w:adjustRightInd w:val="0"/>
      <w:spacing w:line="360" w:lineRule="atLeast"/>
      <w:ind w:firstLine="482"/>
    </w:pPr>
    <w:rPr>
      <w:sz w:val="24"/>
    </w:rPr>
  </w:style>
  <w:style w:type="paragraph" w:styleId="8">
    <w:name w:val="annotation text"/>
    <w:basedOn w:val="1"/>
    <w:link w:val="43"/>
    <w:qFormat/>
    <w:uiPriority w:val="0"/>
    <w:pPr>
      <w:jc w:val="left"/>
    </w:pPr>
  </w:style>
  <w:style w:type="paragraph" w:styleId="9">
    <w:name w:val="Body Text"/>
    <w:basedOn w:val="1"/>
    <w:qFormat/>
    <w:uiPriority w:val="0"/>
    <w:pPr>
      <w:jc w:val="center"/>
    </w:pPr>
    <w:rPr>
      <w:b/>
      <w:bCs/>
      <w:sz w:val="44"/>
      <w:szCs w:val="20"/>
    </w:rPr>
  </w:style>
  <w:style w:type="paragraph" w:styleId="10">
    <w:name w:val="Body Text Indent"/>
    <w:basedOn w:val="1"/>
    <w:next w:val="11"/>
    <w:qFormat/>
    <w:uiPriority w:val="0"/>
    <w:pPr>
      <w:spacing w:line="500" w:lineRule="exact"/>
      <w:ind w:firstLine="538"/>
    </w:pPr>
    <w:rPr>
      <w:sz w:val="28"/>
    </w:rPr>
  </w:style>
  <w:style w:type="paragraph" w:styleId="11">
    <w:name w:val="envelope return"/>
    <w:basedOn w:val="1"/>
    <w:next w:val="6"/>
    <w:qFormat/>
    <w:uiPriority w:val="0"/>
    <w:pPr>
      <w:snapToGrid w:val="0"/>
    </w:pPr>
    <w:rPr>
      <w:rFonts w:ascii="Arial" w:hAnsi="Arial"/>
    </w:rPr>
  </w:style>
  <w:style w:type="paragraph" w:styleId="12">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3">
    <w:name w:val="index 4"/>
    <w:basedOn w:val="1"/>
    <w:next w:val="1"/>
    <w:qFormat/>
    <w:uiPriority w:val="0"/>
    <w:pPr>
      <w:ind w:left="600" w:leftChars="600"/>
    </w:pPr>
  </w:style>
  <w:style w:type="paragraph" w:styleId="14">
    <w:name w:val="Plain Text"/>
    <w:basedOn w:val="1"/>
    <w:next w:val="1"/>
    <w:qFormat/>
    <w:uiPriority w:val="0"/>
    <w:rPr>
      <w:rFonts w:ascii="宋体"/>
      <w:color w:val="000000"/>
      <w:szCs w:val="20"/>
      <w:u w:color="000000"/>
    </w:rPr>
  </w:style>
  <w:style w:type="paragraph" w:styleId="15">
    <w:name w:val="Date"/>
    <w:basedOn w:val="1"/>
    <w:next w:val="1"/>
    <w:link w:val="44"/>
    <w:qFormat/>
    <w:uiPriority w:val="0"/>
    <w:rPr>
      <w:rFonts w:ascii="仿宋_GB2312" w:eastAsia="仿宋_GB2312"/>
      <w:sz w:val="30"/>
      <w:szCs w:val="20"/>
    </w:rPr>
  </w:style>
  <w:style w:type="paragraph" w:styleId="16">
    <w:name w:val="Body Text Indent 2"/>
    <w:basedOn w:val="1"/>
    <w:qFormat/>
    <w:uiPriority w:val="0"/>
    <w:pPr>
      <w:spacing w:line="360" w:lineRule="exact"/>
      <w:ind w:firstLine="600" w:firstLineChars="250"/>
      <w:jc w:val="left"/>
    </w:pPr>
    <w:rPr>
      <w:sz w:val="24"/>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next w:val="1"/>
    <w:qFormat/>
    <w:uiPriority w:val="0"/>
    <w:pPr>
      <w:ind w:left="200" w:hanging="200" w:hangingChars="200"/>
    </w:pPr>
  </w:style>
  <w:style w:type="paragraph" w:styleId="21">
    <w:name w:val="toc 2"/>
    <w:basedOn w:val="1"/>
    <w:next w:val="1"/>
    <w:qFormat/>
    <w:uiPriority w:val="39"/>
    <w:pPr>
      <w:ind w:left="210"/>
      <w:jc w:val="left"/>
    </w:pPr>
    <w:rPr>
      <w:smallCaps/>
      <w:sz w:val="20"/>
    </w:rPr>
  </w:style>
  <w:style w:type="paragraph" w:styleId="22">
    <w:name w:val="Body Text 2"/>
    <w:basedOn w:val="1"/>
    <w:qFormat/>
    <w:uiPriority w:val="0"/>
    <w:pPr>
      <w:spacing w:line="440" w:lineRule="exact"/>
    </w:pPr>
    <w:rPr>
      <w:sz w:val="28"/>
    </w:rPr>
  </w:style>
  <w:style w:type="paragraph" w:styleId="23">
    <w:name w:val="Normal (Web)"/>
    <w:basedOn w:val="1"/>
    <w:qFormat/>
    <w:uiPriority w:val="0"/>
    <w:pPr>
      <w:widowControl/>
      <w:jc w:val="left"/>
    </w:pPr>
    <w:rPr>
      <w:rFonts w:ascii="宋体" w:hAnsi="宋体" w:cs="宋体"/>
      <w:kern w:val="0"/>
      <w:sz w:val="18"/>
      <w:szCs w:val="18"/>
    </w:rPr>
  </w:style>
  <w:style w:type="paragraph" w:styleId="24">
    <w:name w:val="annotation subject"/>
    <w:basedOn w:val="8"/>
    <w:next w:val="8"/>
    <w:link w:val="45"/>
    <w:qFormat/>
    <w:uiPriority w:val="0"/>
    <w:rPr>
      <w:b/>
      <w:bCs/>
    </w:rPr>
  </w:style>
  <w:style w:type="paragraph" w:styleId="25">
    <w:name w:val="Body Text First Indent 2"/>
    <w:basedOn w:val="10"/>
    <w:next w:val="1"/>
    <w:qFormat/>
    <w:uiPriority w:val="0"/>
    <w:pPr>
      <w:spacing w:line="360" w:lineRule="auto"/>
      <w:ind w:firstLine="200" w:firstLineChars="200"/>
    </w:pPr>
    <w:rPr>
      <w:rFonts w:ascii="宋体"/>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qFormat/>
    <w:uiPriority w:val="0"/>
  </w:style>
  <w:style w:type="character" w:styleId="37">
    <w:name w:val="Hyperlink"/>
    <w:qFormat/>
    <w:uiPriority w:val="0"/>
    <w:rPr>
      <w:color w:val="333333"/>
      <w:u w:val="none"/>
    </w:rPr>
  </w:style>
  <w:style w:type="character" w:styleId="38">
    <w:name w:val="HTML Code"/>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批注文字 字符"/>
    <w:link w:val="8"/>
    <w:qFormat/>
    <w:uiPriority w:val="0"/>
    <w:rPr>
      <w:kern w:val="2"/>
      <w:sz w:val="21"/>
      <w:szCs w:val="24"/>
    </w:rPr>
  </w:style>
  <w:style w:type="character" w:customStyle="1" w:styleId="44">
    <w:name w:val="日期 字符"/>
    <w:link w:val="15"/>
    <w:qFormat/>
    <w:uiPriority w:val="0"/>
    <w:rPr>
      <w:rFonts w:ascii="仿宋_GB2312" w:eastAsia="仿宋_GB2312"/>
      <w:kern w:val="2"/>
      <w:sz w:val="30"/>
      <w:lang w:val="en-US" w:eastAsia="zh-CN" w:bidi="ar-SA"/>
    </w:rPr>
  </w:style>
  <w:style w:type="character" w:customStyle="1" w:styleId="45">
    <w:name w:val="批注主题 字符"/>
    <w:link w:val="24"/>
    <w:qFormat/>
    <w:uiPriority w:val="0"/>
    <w:rPr>
      <w:b/>
      <w:bCs/>
      <w:kern w:val="2"/>
      <w:sz w:val="21"/>
      <w:szCs w:val="24"/>
    </w:rPr>
  </w:style>
  <w:style w:type="character" w:customStyle="1" w:styleId="46">
    <w:name w:val="NormalCharacter"/>
    <w:qFormat/>
    <w:uiPriority w:val="0"/>
    <w:rPr>
      <w:kern w:val="2"/>
      <w:sz w:val="21"/>
      <w:szCs w:val="24"/>
      <w:lang w:val="en-US" w:eastAsia="zh-CN" w:bidi="ar-SA"/>
    </w:rPr>
  </w:style>
  <w:style w:type="character" w:customStyle="1" w:styleId="47">
    <w:name w:val="font61"/>
    <w:qFormat/>
    <w:uiPriority w:val="0"/>
    <w:rPr>
      <w:rFonts w:hint="eastAsia" w:ascii="宋体" w:hAnsi="宋体" w:eastAsia="宋体" w:cs="宋体"/>
      <w:color w:val="000000"/>
      <w:sz w:val="14"/>
      <w:szCs w:val="14"/>
      <w:u w:val="none"/>
    </w:rPr>
  </w:style>
  <w:style w:type="character" w:customStyle="1" w:styleId="48">
    <w:name w:val="font51"/>
    <w:qFormat/>
    <w:uiPriority w:val="0"/>
    <w:rPr>
      <w:rFonts w:hint="eastAsia" w:ascii="宋体" w:hAnsi="宋体" w:eastAsia="宋体" w:cs="宋体"/>
      <w:color w:val="auto"/>
      <w:sz w:val="14"/>
      <w:szCs w:val="14"/>
      <w:u w:val="none"/>
    </w:rPr>
  </w:style>
  <w:style w:type="character" w:customStyle="1" w:styleId="49">
    <w:name w:val="font81"/>
    <w:qFormat/>
    <w:uiPriority w:val="0"/>
    <w:rPr>
      <w:rFonts w:hint="default" w:ascii="Times New Roman" w:hAnsi="Times New Roman" w:cs="Times New Roman"/>
      <w:color w:val="auto"/>
      <w:sz w:val="14"/>
      <w:szCs w:val="14"/>
      <w:u w:val="none"/>
    </w:rPr>
  </w:style>
  <w:style w:type="character" w:customStyle="1" w:styleId="50">
    <w:name w:val="font71"/>
    <w:qFormat/>
    <w:uiPriority w:val="0"/>
    <w:rPr>
      <w:rFonts w:hint="eastAsia" w:ascii="宋体" w:hAnsi="宋体" w:eastAsia="宋体" w:cs="宋体"/>
      <w:color w:val="auto"/>
      <w:sz w:val="14"/>
      <w:szCs w:val="14"/>
      <w:u w:val="none"/>
    </w:rPr>
  </w:style>
  <w:style w:type="character" w:customStyle="1" w:styleId="51">
    <w:name w:val="bigfont"/>
    <w:qFormat/>
    <w:uiPriority w:val="0"/>
  </w:style>
  <w:style w:type="paragraph" w:customStyle="1" w:styleId="52">
    <w:name w:val="Char"/>
    <w:basedOn w:val="1"/>
    <w:qFormat/>
    <w:uiPriority w:val="0"/>
    <w:pPr>
      <w:widowControl/>
      <w:spacing w:line="360" w:lineRule="auto"/>
      <w:jc w:val="left"/>
    </w:pPr>
  </w:style>
  <w:style w:type="paragraph" w:customStyle="1" w:styleId="53">
    <w:name w:val="标准文本"/>
    <w:basedOn w:val="1"/>
    <w:qFormat/>
    <w:uiPriority w:val="99"/>
    <w:pPr>
      <w:spacing w:line="360" w:lineRule="auto"/>
      <w:ind w:firstLine="480" w:firstLineChars="200"/>
    </w:pPr>
    <w:rPr>
      <w:rFonts w:cs="宋体"/>
      <w:sz w:val="24"/>
      <w:szCs w:val="20"/>
    </w:rPr>
  </w:style>
  <w:style w:type="paragraph" w:customStyle="1" w:styleId="54">
    <w:name w:val="Char Char Char Char Char Char Char1 Char"/>
    <w:basedOn w:val="1"/>
    <w:qFormat/>
    <w:uiPriority w:val="0"/>
    <w:rPr>
      <w:rFonts w:ascii="Tahoma" w:hAnsi="Tahoma"/>
      <w:sz w:val="24"/>
      <w:szCs w:val="20"/>
    </w:rPr>
  </w:style>
  <w:style w:type="paragraph" w:customStyle="1" w:styleId="55">
    <w:name w:val="Char1"/>
    <w:basedOn w:val="1"/>
    <w:qFormat/>
    <w:uiPriority w:val="0"/>
    <w:rPr>
      <w:rFonts w:ascii="Tahoma" w:hAnsi="Tahoma"/>
      <w:sz w:val="24"/>
      <w:szCs w:val="20"/>
    </w:rPr>
  </w:style>
  <w:style w:type="paragraph" w:customStyle="1" w:styleId="56">
    <w:name w:val="列表段落1"/>
    <w:basedOn w:val="1"/>
    <w:qFormat/>
    <w:uiPriority w:val="34"/>
    <w:pPr>
      <w:spacing w:line="360" w:lineRule="auto"/>
      <w:ind w:firstLine="420" w:firstLineChars="200"/>
    </w:pPr>
    <w:rPr>
      <w:szCs w:val="20"/>
    </w:rPr>
  </w:style>
  <w:style w:type="paragraph" w:customStyle="1" w:styleId="57">
    <w:name w:val="*正文"/>
    <w:basedOn w:val="1"/>
    <w:qFormat/>
    <w:uiPriority w:val="0"/>
    <w:pPr>
      <w:widowControl/>
      <w:snapToGrid w:val="0"/>
      <w:ind w:firstLine="560"/>
      <w:jc w:val="left"/>
    </w:pPr>
    <w:rPr>
      <w:rFonts w:ascii="仿宋_GB2312"/>
      <w:color w:val="191919"/>
      <w:sz w:val="28"/>
      <w:szCs w:val="28"/>
    </w:rPr>
  </w:style>
  <w:style w:type="paragraph" w:styleId="58">
    <w:name w:val="List Paragraph"/>
    <w:basedOn w:val="1"/>
    <w:qFormat/>
    <w:uiPriority w:val="34"/>
    <w:pPr>
      <w:spacing w:line="360" w:lineRule="auto"/>
      <w:ind w:firstLine="420" w:firstLineChars="200"/>
    </w:pPr>
    <w:rPr>
      <w:szCs w:val="20"/>
    </w:rPr>
  </w:style>
  <w:style w:type="paragraph" w:customStyle="1" w:styleId="59">
    <w:name w:val="默认段落字体 Para Char Char Char Char"/>
    <w:basedOn w:val="1"/>
    <w:qFormat/>
    <w:uiPriority w:val="0"/>
  </w:style>
  <w:style w:type="paragraph" w:customStyle="1" w:styleId="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列出段落1"/>
    <w:basedOn w:val="1"/>
    <w:qFormat/>
    <w:uiPriority w:val="99"/>
    <w:pPr>
      <w:ind w:firstLine="420" w:firstLineChars="200"/>
    </w:pPr>
    <w:rPr>
      <w:rFonts w:ascii="Calibri" w:hAnsi="Calibri"/>
    </w:rPr>
  </w:style>
  <w:style w:type="paragraph" w:customStyle="1" w:styleId="6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3">
    <w:name w:val="fontstyle11"/>
    <w:qFormat/>
    <w:uiPriority w:val="0"/>
    <w:rPr>
      <w:rFonts w:hint="default" w:ascii="TimesNewRomanPSMT" w:hAnsi="TimesNewRomanPSMT"/>
      <w:color w:val="000000"/>
      <w:sz w:val="24"/>
      <w:szCs w:val="24"/>
    </w:rPr>
  </w:style>
  <w:style w:type="character" w:customStyle="1" w:styleId="64">
    <w:name w:val="fontstyle01"/>
    <w:qFormat/>
    <w:uiPriority w:val="0"/>
    <w:rPr>
      <w:rFonts w:hint="eastAsia" w:ascii="宋体" w:hAnsi="宋体" w:eastAsia="宋体"/>
      <w:color w:val="000000"/>
      <w:sz w:val="24"/>
      <w:szCs w:val="24"/>
    </w:rPr>
  </w:style>
  <w:style w:type="character" w:customStyle="1" w:styleId="65">
    <w:name w:val="fontstyle31"/>
    <w:qFormat/>
    <w:uiPriority w:val="0"/>
    <w:rPr>
      <w:rFonts w:hint="default" w:ascii="TimesNewRomanPS-BoldMT" w:hAnsi="TimesNewRomanPS-BoldMT"/>
      <w:b/>
      <w:bCs/>
      <w:color w:val="000000"/>
      <w:sz w:val="24"/>
      <w:szCs w:val="24"/>
    </w:rPr>
  </w:style>
  <w:style w:type="character" w:customStyle="1" w:styleId="66">
    <w:name w:val="fontstyle21"/>
    <w:qFormat/>
    <w:uiPriority w:val="0"/>
    <w:rPr>
      <w:rFonts w:hint="default" w:ascii="TimesNewRomanPSMT" w:hAnsi="TimesNewRomanPSMT"/>
      <w:color w:val="000000"/>
      <w:sz w:val="24"/>
      <w:szCs w:val="24"/>
    </w:rPr>
  </w:style>
  <w:style w:type="paragraph" w:customStyle="1" w:styleId="67">
    <w:name w:val="Table Paragraph"/>
    <w:basedOn w:val="1"/>
    <w:qFormat/>
    <w:uiPriority w:val="1"/>
    <w:pPr>
      <w:autoSpaceDE w:val="0"/>
      <w:autoSpaceDN w:val="0"/>
      <w:jc w:val="left"/>
    </w:pPr>
    <w:rPr>
      <w:rFonts w:cs="宋体"/>
      <w:kern w:val="0"/>
      <w:sz w:val="22"/>
      <w:lang w:val="zh-CN" w:bidi="zh-CN"/>
    </w:rPr>
  </w:style>
  <w:style w:type="paragraph" w:customStyle="1" w:styleId="68">
    <w:name w:val="列出段落11"/>
    <w:basedOn w:val="1"/>
    <w:qFormat/>
    <w:uiPriority w:val="99"/>
    <w:pPr>
      <w:adjustRightInd w:val="0"/>
      <w:spacing w:line="360" w:lineRule="atLeast"/>
      <w:ind w:firstLine="420" w:firstLineChars="200"/>
      <w:jc w:val="left"/>
    </w:pPr>
    <w:rPr>
      <w:rFonts w:ascii="等线" w:hAnsi="等线" w:eastAsia="等线" w:cs="黑体"/>
      <w:kern w:val="0"/>
      <w:sz w:val="24"/>
      <w:szCs w:val="22"/>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customStyle="1" w:styleId="70">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4">
    <w:name w:val="font21"/>
    <w:basedOn w:val="28"/>
    <w:qFormat/>
    <w:uiPriority w:val="0"/>
    <w:rPr>
      <w:rFonts w:hint="eastAsia" w:ascii="宋体" w:hAnsi="宋体" w:eastAsia="宋体" w:cs="宋体"/>
      <w:color w:val="000000"/>
      <w:sz w:val="18"/>
      <w:szCs w:val="18"/>
      <w:u w:val="none"/>
    </w:rPr>
  </w:style>
  <w:style w:type="character" w:customStyle="1" w:styleId="75">
    <w:name w:val="font31"/>
    <w:basedOn w:val="28"/>
    <w:qFormat/>
    <w:uiPriority w:val="0"/>
    <w:rPr>
      <w:rFonts w:hint="eastAsia" w:ascii="宋体" w:hAnsi="宋体" w:eastAsia="宋体" w:cs="宋体"/>
      <w:color w:val="333333"/>
      <w:sz w:val="18"/>
      <w:szCs w:val="18"/>
      <w:u w:val="none"/>
    </w:rPr>
  </w:style>
  <w:style w:type="character" w:customStyle="1" w:styleId="76">
    <w:name w:val="font41"/>
    <w:basedOn w:val="28"/>
    <w:qFormat/>
    <w:uiPriority w:val="0"/>
    <w:rPr>
      <w:rFonts w:hint="eastAsia" w:ascii="宋体" w:hAnsi="宋体" w:eastAsia="宋体" w:cs="宋体"/>
      <w:color w:val="000000"/>
      <w:sz w:val="18"/>
      <w:szCs w:val="18"/>
      <w:u w:val="none"/>
    </w:rPr>
  </w:style>
  <w:style w:type="paragraph" w:customStyle="1" w:styleId="77">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78">
    <w:name w:val="xl31"/>
    <w:basedOn w:val="1"/>
    <w:qFormat/>
    <w:uiPriority w:val="0"/>
    <w:pPr>
      <w:widowControl/>
      <w:spacing w:before="100" w:beforeAutospacing="1" w:after="100" w:afterAutospacing="1"/>
      <w:jc w:val="center"/>
    </w:pPr>
    <w:rPr>
      <w:b/>
      <w:bCs/>
      <w:kern w:val="0"/>
      <w:sz w:val="28"/>
      <w:szCs w:val="28"/>
    </w:rPr>
  </w:style>
  <w:style w:type="paragraph" w:customStyle="1" w:styleId="79">
    <w:name w:val="_Style 1"/>
    <w:basedOn w:val="1"/>
    <w:qFormat/>
    <w:uiPriority w:val="34"/>
    <w:pPr>
      <w:spacing w:line="360" w:lineRule="auto"/>
      <w:ind w:firstLine="420"/>
    </w:pPr>
    <w:rPr>
      <w:rFonts w:ascii="Calibri" w:hAnsi="Calibri" w:eastAsiaTheme="minorEastAsia" w:cstheme="minorBidi"/>
      <w:sz w:val="24"/>
      <w:szCs w:val="22"/>
    </w:rPr>
  </w:style>
  <w:style w:type="paragraph" w:customStyle="1" w:styleId="80">
    <w:name w:val="Table Text"/>
    <w:basedOn w:val="1"/>
    <w:semiHidden/>
    <w:qFormat/>
    <w:uiPriority w:val="0"/>
    <w:rPr>
      <w:rFonts w:ascii="宋体" w:hAnsi="宋体" w:eastAsia="宋体" w:cs="宋体"/>
      <w:sz w:val="20"/>
      <w:szCs w:val="20"/>
      <w:lang w:val="en-US" w:eastAsia="en-US" w:bidi="ar-SA"/>
    </w:rPr>
  </w:style>
  <w:style w:type="character" w:customStyle="1" w:styleId="81">
    <w:name w:val="time"/>
    <w:basedOn w:val="28"/>
    <w:qFormat/>
    <w:uiPriority w:val="0"/>
  </w:style>
  <w:style w:type="character" w:customStyle="1" w:styleId="82">
    <w:name w:val="status"/>
    <w:basedOn w:val="28"/>
    <w:qFormat/>
    <w:uiPriority w:val="0"/>
    <w:rPr>
      <w:color w:val="0776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1195</Words>
  <Characters>1519</Characters>
  <Lines>281</Lines>
  <Paragraphs>79</Paragraphs>
  <TotalTime>15</TotalTime>
  <ScaleCrop>false</ScaleCrop>
  <LinksUpToDate>false</LinksUpToDate>
  <CharactersWithSpaces>1559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2024-10-23T08:26:00Z</dcterms:created>
  <dc:creator>微软用户</dc:creator>
  <cp:lastModifiedBy>Zxxxx</cp:lastModifiedBy>
  <cp:lastPrinted>2019-10-31T07:16:00Z</cp:lastPrinted>
  <dcterms:modified xsi:type="dcterms:W3CDTF">2025-04-11T05:15:56Z</dcterms:modified>
  <dc:title>花亭路等道路绿化工程苗木比价采购</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6776AD387B5A4A7581867F7EF7CC50B9_13</vt:lpwstr>
  </property>
  <property fmtid="{D5CDD505-2E9C-101B-9397-08002B2CF9AE}" pid="4" name="KSOTemplateDocerSaveRecord">
    <vt:lpwstr>eyJoZGlkIjoiNzljYWY0NTNkYjZhYjE4MjUyMjVhYzBmMGU1NDk2OWEiLCJ1c2VySWQiOiIxMzQyMjc4MTgyIn0=</vt:lpwstr>
  </property>
</Properties>
</file>